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color w:val="333333"/>
          <w:kern w:val="0"/>
          <w:sz w:val="30"/>
          <w:szCs w:val="30"/>
        </w:rPr>
      </w:pPr>
      <w:r>
        <w:rPr>
          <w:rFonts w:hint="eastAsia" w:ascii="宋体" w:hAnsi="宋体" w:eastAsia="宋体"/>
          <w:b/>
          <w:bCs/>
          <w:color w:val="333333"/>
          <w:kern w:val="0"/>
          <w:sz w:val="30"/>
          <w:szCs w:val="30"/>
        </w:rPr>
        <w:t>宁德职业技术学院</w:t>
      </w:r>
    </w:p>
    <w:p>
      <w:pPr>
        <w:jc w:val="center"/>
        <w:rPr>
          <w:rFonts w:hint="eastAsia" w:ascii="宋体" w:hAnsi="宋体" w:eastAsia="宋体"/>
          <w:b/>
          <w:bCs/>
          <w:color w:val="333333"/>
          <w:kern w:val="0"/>
          <w:sz w:val="28"/>
          <w:szCs w:val="28"/>
          <w:lang w:val="en-US" w:eastAsia="zh-CN"/>
        </w:rPr>
      </w:pPr>
      <w:r>
        <w:rPr>
          <w:rFonts w:hint="eastAsia" w:ascii="宋体" w:hAnsi="宋体" w:eastAsia="宋体"/>
          <w:b/>
          <w:bCs/>
          <w:color w:val="333333"/>
          <w:kern w:val="0"/>
          <w:sz w:val="30"/>
          <w:szCs w:val="30"/>
        </w:rPr>
        <w:t xml:space="preserve"> </w:t>
      </w:r>
      <w:r>
        <w:rPr>
          <w:rFonts w:hint="eastAsia" w:ascii="宋体" w:hAnsi="宋体" w:eastAsia="宋体"/>
          <w:b/>
          <w:bCs/>
          <w:color w:val="333333"/>
          <w:kern w:val="0"/>
          <w:sz w:val="30"/>
          <w:szCs w:val="30"/>
          <w:lang w:val="en-US" w:eastAsia="zh-CN"/>
        </w:rPr>
        <w:t>高级电工实训室</w:t>
      </w:r>
      <w:r>
        <w:rPr>
          <w:rFonts w:ascii="宋体" w:hAnsi="宋体" w:eastAsia="宋体"/>
          <w:b/>
          <w:bCs/>
          <w:color w:val="333333"/>
          <w:kern w:val="0"/>
          <w:sz w:val="30"/>
          <w:szCs w:val="30"/>
        </w:rPr>
        <w:t>采购方案征集</w:t>
      </w:r>
      <w:r>
        <w:rPr>
          <w:rFonts w:hint="eastAsia" w:ascii="宋体" w:hAnsi="宋体" w:eastAsia="宋体"/>
          <w:b/>
          <w:bCs/>
          <w:color w:val="333333"/>
          <w:kern w:val="0"/>
          <w:sz w:val="30"/>
          <w:szCs w:val="30"/>
          <w:lang w:val="en-US" w:eastAsia="zh-CN"/>
        </w:rPr>
        <w:t>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为了对新能源与智能制造学院开设7个专业相关课程的课内实训以及相关的实训课程的实训教学提供了基础保障，同时提升本地区职业院校机电一体化技术、机械制造与自动化等相关专业的建设、课程建设、教师队伍建设，深化人才培养培训模式和评价模式改革，推进教师、教材、教法“三教”改革，建好用好实训基地，提升教育教学质量，提升学生就业能力，为社会培养高素质的劳动者和机电设备技术等相关专业技术技能人才。我校拟建设高级电工实训室，建设需求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一、建设目标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本次高级电工实训室建设包含技师电工实训考核装置、计算机，约135平方米，高级电工实训室需满足不少于48人上课需求，电工职业资格考核不少于30个工位需求，建成后需具备如下功能：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电工电气控制技术，要求能够完成以下实训任务：交流异步电动机的点动、单向连续转动的控制电路连接；交流异步电动机的点动、单向连续转动的控制电路连接；按钮、接触器联锁的三相交流异步电动机正、反转控制电路的连接；三相交流异步电动机Y-△启动控制电路的连接；三相交流异步电动机反接制动控制电路的连接；多台（3台及以下）电动机的顺序控制电路的连接；电动机的往返行程控制电路的连接；双速电动机调速控制电路的连接；步进电机控制实训；普通车床控制电路的连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2、可编程控制器控制技术，要求能够完成以下实训任务：采用PLC改造电气控制电路的安装与调试。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变频调速技术，要求能够完成以下实训任务：变频器面板功能参数设置和操作实训；变频器对电机点动控制、启停控制；电机转速多段控制；工频、变频切换控制；基于模拟量控制的电机开环调速；基于面板操作的电机开环调速；变频器的保护和报警功能实训；基于PLC模拟量控制的变频器开环调速；基于PLC模拟量控制的变频器闭环调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4、工控组态触摸屏技术要求能够完成以下实训任务：触摸屏的参数设置，触摸屏的简单界面制作。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5、其他实训要求：三相混合式步进电机的开环位置控制实训；编码器的使用，交流伺服电机的位置控制实训，温度控制器的参数设置，温度控制器的使用。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能够完成触摸屏、变频器、PLC的综合实训。能够以PLC、变频器控制系统应用和设计为主线，通过对具体控制系统的设计总体方案的拟定，控制系统硬件电路的设计、安装以及控制程序编写，使学生综合运用PLC技术、变频技术、传感器技术、低压电气控制技术和组态控制技术等各方面知识，把多门专业课程有机的结合起来，进行全面的训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7、能够满足多等级电工国家职业资格证鉴定和考核。</w:t>
      </w:r>
    </w:p>
    <w:p>
      <w:pPr>
        <w:pStyle w:val="16"/>
        <w:keepNext w:val="0"/>
        <w:keepLines w:val="0"/>
        <w:pageBreakBefore w:val="0"/>
        <w:numPr>
          <w:ilvl w:val="0"/>
          <w:numId w:val="0"/>
        </w:numPr>
        <w:kinsoku/>
        <w:wordWrap/>
        <w:overflowPunct/>
        <w:topLinePunct w:val="0"/>
        <w:bidi w:val="0"/>
        <w:spacing w:line="440" w:lineRule="exac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二、建设要求</w:t>
      </w:r>
    </w:p>
    <w:p>
      <w:pPr>
        <w:pStyle w:val="16"/>
        <w:keepNext w:val="0"/>
        <w:keepLines w:val="0"/>
        <w:pageBreakBefore w:val="0"/>
        <w:numPr>
          <w:ilvl w:val="0"/>
          <w:numId w:val="0"/>
        </w:numPr>
        <w:kinsoku/>
        <w:wordWrap/>
        <w:overflowPunct/>
        <w:topLinePunct w:val="0"/>
        <w:bidi w:val="0"/>
        <w:spacing w:line="440" w:lineRule="exact"/>
        <w:ind w:left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针对以上建设目标，高级电工实训室建设需满足以下要求：</w:t>
      </w:r>
    </w:p>
    <w:p>
      <w:pPr>
        <w:tabs>
          <w:tab w:val="left" w:pos="720"/>
        </w:tabs>
        <w:spacing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设备技术指标</w:t>
      </w:r>
    </w:p>
    <w:p>
      <w:pPr>
        <w:numPr>
          <w:ilvl w:val="0"/>
          <w:numId w:val="0"/>
        </w:numPr>
        <w:tabs>
          <w:tab w:val="left" w:pos="490"/>
        </w:tabs>
        <w:spacing w:line="360" w:lineRule="auto"/>
        <w:ind w:left="360" w:leftChars="0" w:firstLine="240" w:firstLineChars="100"/>
        <w:rPr>
          <w:rFonts w:hint="eastAsia" w:ascii="宋体" w:hAnsi="宋体" w:eastAsia="宋体" w:cs="宋体"/>
          <w:sz w:val="24"/>
          <w:szCs w:val="24"/>
        </w:rPr>
      </w:pPr>
      <w:r>
        <w:rPr>
          <w:rFonts w:hint="eastAsia" w:ascii="宋体" w:hAnsi="宋体" w:eastAsia="宋体" w:cs="宋体"/>
          <w:sz w:val="24"/>
          <w:szCs w:val="24"/>
        </w:rPr>
        <w:t xml:space="preserve">电源及仪表： </w:t>
      </w:r>
    </w:p>
    <w:p>
      <w:pPr>
        <w:tabs>
          <w:tab w:val="left" w:pos="490"/>
          <w:tab w:val="left" w:pos="1080"/>
        </w:tabs>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输入：三相AC 380V ±10% 50HZ 三相五线；</w:t>
      </w:r>
    </w:p>
    <w:p>
      <w:pPr>
        <w:spacing w:line="360" w:lineRule="auto"/>
        <w:ind w:firstLine="720" w:firstLineChars="300"/>
        <w:rPr>
          <w:rFonts w:hint="eastAsia" w:ascii="宋体" w:hAnsi="宋体" w:eastAsia="宋体" w:cs="宋体"/>
          <w:spacing w:val="-2"/>
          <w:sz w:val="24"/>
          <w:szCs w:val="24"/>
          <w:lang w:eastAsia="zh-CN"/>
        </w:rPr>
      </w:pPr>
      <w:r>
        <w:rPr>
          <w:rFonts w:hint="eastAsia" w:ascii="宋体" w:hAnsi="宋体" w:eastAsia="宋体" w:cs="宋体"/>
          <w:sz w:val="24"/>
          <w:szCs w:val="24"/>
        </w:rPr>
        <w:t>控制屏</w:t>
      </w:r>
      <w:r>
        <w:rPr>
          <w:rFonts w:hint="eastAsia" w:ascii="宋体" w:hAnsi="宋体" w:eastAsia="宋体" w:cs="宋体"/>
          <w:sz w:val="24"/>
          <w:szCs w:val="24"/>
          <w:lang w:val="en-US" w:eastAsia="zh-CN"/>
        </w:rPr>
        <w:t>具备</w:t>
      </w:r>
      <w:r>
        <w:rPr>
          <w:rFonts w:hint="eastAsia" w:ascii="宋体" w:hAnsi="宋体" w:eastAsia="宋体" w:cs="宋体"/>
          <w:sz w:val="24"/>
          <w:szCs w:val="24"/>
        </w:rPr>
        <w:t>交流电源模块</w:t>
      </w:r>
      <w:r>
        <w:rPr>
          <w:rFonts w:hint="eastAsia" w:ascii="宋体" w:hAnsi="宋体" w:eastAsia="宋体" w:cs="宋体"/>
          <w:sz w:val="24"/>
          <w:szCs w:val="24"/>
          <w:lang w:eastAsia="zh-CN"/>
        </w:rPr>
        <w:t>；</w:t>
      </w:r>
      <w:r>
        <w:rPr>
          <w:rFonts w:hint="eastAsia" w:ascii="宋体" w:hAnsi="宋体" w:eastAsia="宋体" w:cs="宋体"/>
          <w:sz w:val="24"/>
          <w:szCs w:val="24"/>
        </w:rPr>
        <w:t>交流仪表模块：数字式交流电压表</w:t>
      </w:r>
      <w:r>
        <w:rPr>
          <w:rFonts w:hint="eastAsia" w:ascii="宋体" w:hAnsi="宋体" w:eastAsia="宋体" w:cs="宋体"/>
          <w:sz w:val="24"/>
          <w:szCs w:val="24"/>
          <w:lang w:eastAsia="zh-CN"/>
        </w:rPr>
        <w:t>；</w:t>
      </w:r>
      <w:r>
        <w:rPr>
          <w:rFonts w:hint="eastAsia" w:ascii="宋体" w:hAnsi="宋体" w:eastAsia="宋体" w:cs="宋体"/>
          <w:sz w:val="24"/>
          <w:szCs w:val="24"/>
        </w:rPr>
        <w:t>数字式交流电流表：功率、功率因数表</w:t>
      </w:r>
      <w:r>
        <w:rPr>
          <w:rFonts w:hint="eastAsia" w:ascii="宋体" w:hAnsi="宋体" w:eastAsia="宋体" w:cs="宋体"/>
          <w:sz w:val="24"/>
          <w:szCs w:val="24"/>
          <w:lang w:eastAsia="zh-CN"/>
        </w:rPr>
        <w:t>；</w:t>
      </w:r>
      <w:r>
        <w:rPr>
          <w:rFonts w:hint="eastAsia" w:ascii="宋体" w:hAnsi="宋体" w:eastAsia="宋体" w:cs="宋体"/>
          <w:sz w:val="24"/>
          <w:szCs w:val="24"/>
        </w:rPr>
        <w:t>直流仪表模块：数字直流电压表</w:t>
      </w:r>
      <w:r>
        <w:rPr>
          <w:rFonts w:hint="eastAsia" w:ascii="宋体" w:hAnsi="宋体" w:eastAsia="宋体" w:cs="宋体"/>
          <w:sz w:val="24"/>
          <w:szCs w:val="24"/>
          <w:lang w:eastAsia="zh-CN"/>
        </w:rPr>
        <w:t>；</w:t>
      </w:r>
      <w:r>
        <w:rPr>
          <w:rFonts w:hint="eastAsia" w:ascii="宋体" w:hAnsi="宋体" w:eastAsia="宋体" w:cs="宋体"/>
          <w:sz w:val="24"/>
          <w:szCs w:val="24"/>
        </w:rPr>
        <w:t>数字直流电流表</w:t>
      </w:r>
      <w:r>
        <w:rPr>
          <w:rFonts w:hint="eastAsia" w:ascii="宋体" w:hAnsi="宋体" w:eastAsia="宋体" w:cs="宋体"/>
          <w:sz w:val="24"/>
          <w:szCs w:val="24"/>
          <w:lang w:eastAsia="zh-CN"/>
        </w:rPr>
        <w:t>；</w:t>
      </w:r>
      <w:r>
        <w:rPr>
          <w:rFonts w:hint="eastAsia" w:ascii="宋体" w:hAnsi="宋体" w:eastAsia="宋体" w:cs="宋体"/>
          <w:sz w:val="24"/>
          <w:szCs w:val="24"/>
        </w:rPr>
        <w:t>直流输出模块</w:t>
      </w:r>
      <w:r>
        <w:rPr>
          <w:rFonts w:hint="eastAsia" w:ascii="宋体" w:hAnsi="宋体" w:eastAsia="宋体" w:cs="宋体"/>
          <w:sz w:val="24"/>
          <w:szCs w:val="24"/>
          <w:lang w:eastAsia="zh-CN"/>
        </w:rPr>
        <w:t>；</w:t>
      </w:r>
      <w:r>
        <w:rPr>
          <w:rFonts w:hint="eastAsia" w:ascii="宋体" w:hAnsi="宋体" w:eastAsia="宋体" w:cs="宋体"/>
          <w:sz w:val="24"/>
          <w:szCs w:val="24"/>
        </w:rPr>
        <w:t>实训器件模块</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保护模块；</w:t>
      </w:r>
      <w:r>
        <w:rPr>
          <w:rFonts w:hint="eastAsia" w:ascii="宋体" w:hAnsi="宋体" w:eastAsia="宋体" w:cs="宋体"/>
          <w:sz w:val="24"/>
          <w:szCs w:val="24"/>
        </w:rPr>
        <w:t>实训桌</w:t>
      </w:r>
      <w:r>
        <w:rPr>
          <w:rFonts w:hint="eastAsia" w:ascii="宋体" w:hAnsi="宋体" w:eastAsia="宋体" w:cs="宋体"/>
          <w:sz w:val="24"/>
          <w:szCs w:val="24"/>
          <w:lang w:eastAsia="zh-CN"/>
        </w:rPr>
        <w:t>；</w:t>
      </w:r>
      <w:r>
        <w:rPr>
          <w:rFonts w:hint="eastAsia" w:ascii="宋体" w:hAnsi="宋体" w:eastAsia="宋体" w:cs="宋体"/>
          <w:sz w:val="24"/>
          <w:szCs w:val="24"/>
        </w:rPr>
        <w:t>实训导线</w:t>
      </w:r>
      <w:r>
        <w:rPr>
          <w:rFonts w:hint="eastAsia" w:ascii="宋体" w:hAnsi="宋体" w:eastAsia="宋体" w:cs="宋体"/>
          <w:sz w:val="24"/>
          <w:szCs w:val="24"/>
          <w:lang w:eastAsia="zh-CN"/>
        </w:rPr>
        <w:t>。</w:t>
      </w:r>
    </w:p>
    <w:p>
      <w:pPr>
        <w:pStyle w:val="14"/>
        <w:keepNext w:val="0"/>
        <w:keepLines w:val="0"/>
        <w:pageBreakBefore w:val="0"/>
        <w:numPr>
          <w:ilvl w:val="0"/>
          <w:numId w:val="0"/>
        </w:numPr>
        <w:kinsoku/>
        <w:wordWrap/>
        <w:overflowPunct/>
        <w:topLinePunct w:val="0"/>
        <w:autoSpaceDE/>
        <w:bidi w:val="0"/>
        <w:adjustRightInd/>
        <w:snapToGrid/>
        <w:spacing w:line="440" w:lineRule="exact"/>
        <w:ind w:right="0" w:rightChars="0"/>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2、设备要求配置</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（1）实训电机：配套相关实训的电机。</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（2）可编程控制器挂板：西门子主机：S7-200smart （具备模拟量模块）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（3）触摸屏单元：触摸屏7寸 彩色 （MCGS TPC7062KX）</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000000"/>
          <w:kern w:val="0"/>
          <w:sz w:val="24"/>
          <w:szCs w:val="24"/>
          <w:lang w:val="en-US" w:eastAsia="zh-CN" w:bidi="ar-SA"/>
        </w:rPr>
        <w:t>（4）变频器挂板：</w:t>
      </w:r>
      <w:r>
        <w:rPr>
          <w:rFonts w:hint="eastAsia" w:ascii="宋体" w:hAnsi="宋体" w:eastAsia="宋体" w:cs="宋体"/>
          <w:color w:val="auto"/>
          <w:sz w:val="24"/>
          <w:szCs w:val="24"/>
          <w:highlight w:val="none"/>
        </w:rPr>
        <w:t>采用西门子变频器G-120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（5）软件：编程软件、仿真软件、智能考核软件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（6）工具：常用工具箱配套：数字万用表、一字螺丝刀、十字螺丝刀、斜口钳、剥线钳、压线钳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（7）计算机小推车：带脚轮、电脑托盘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（8）配套的实训指导手册。</w:t>
      </w:r>
    </w:p>
    <w:p>
      <w:pPr>
        <w:pStyle w:val="14"/>
        <w:keepNext w:val="0"/>
        <w:keepLines w:val="0"/>
        <w:pageBreakBefore w:val="0"/>
        <w:numPr>
          <w:ilvl w:val="0"/>
          <w:numId w:val="0"/>
        </w:numPr>
        <w:kinsoku/>
        <w:wordWrap/>
        <w:overflowPunct/>
        <w:topLinePunct w:val="0"/>
        <w:autoSpaceDE/>
        <w:bidi w:val="0"/>
        <w:adjustRightInd/>
        <w:snapToGrid/>
        <w:spacing w:line="440" w:lineRule="exact"/>
        <w:ind w:right="0" w:rightChars="0"/>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3、计算机：商务台式机电脑主机(12代i5-12400F 8G 256G+1T 2G独显 )23.8英寸整机</w:t>
      </w:r>
    </w:p>
    <w:p>
      <w:pPr>
        <w:pStyle w:val="14"/>
        <w:keepNext w:val="0"/>
        <w:keepLines w:val="0"/>
        <w:pageBreakBefore w:val="0"/>
        <w:numPr>
          <w:ilvl w:val="0"/>
          <w:numId w:val="0"/>
        </w:numPr>
        <w:kinsoku/>
        <w:wordWrap/>
        <w:overflowPunct/>
        <w:topLinePunct w:val="0"/>
        <w:autoSpaceDE/>
        <w:bidi w:val="0"/>
        <w:adjustRightInd/>
        <w:snapToGrid/>
        <w:spacing w:line="440" w:lineRule="exact"/>
        <w:ind w:right="0" w:rightChars="0"/>
        <w:jc w:val="both"/>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w:t>
      </w:r>
      <w:r>
        <w:rPr>
          <w:rFonts w:hint="eastAsia" w:ascii="宋体" w:hAnsi="宋体" w:eastAsia="宋体" w:cs="宋体"/>
          <w:color w:val="000000"/>
          <w:kern w:val="0"/>
          <w:sz w:val="24"/>
          <w:szCs w:val="24"/>
          <w:highlight w:val="none"/>
          <w:lang w:val="en-US" w:eastAsia="zh-CN" w:bidi="ar-SA"/>
        </w:rPr>
        <w:t>中标后需提供实训室平面图及实训室建设方案。</w:t>
      </w:r>
      <w:r>
        <w:rPr>
          <w:rFonts w:hint="eastAsia" w:ascii="宋体" w:hAnsi="宋体" w:eastAsia="宋体" w:cs="宋体"/>
          <w:color w:val="000000"/>
          <w:kern w:val="0"/>
          <w:sz w:val="24"/>
          <w:szCs w:val="24"/>
          <w:lang w:val="en-US" w:eastAsia="zh-CN" w:bidi="ar-SA"/>
        </w:rPr>
        <w:t>成交供应商负责技术人员到现场进行安装、调试运行；并派专业技术人员到业主指定的地点对业主的技术人员进行使用操作、设备维修、保养等技术的现场培训，直至业主的最终设备方案以甲方确定的为准。</w:t>
      </w:r>
    </w:p>
    <w:p>
      <w:pPr>
        <w:pStyle w:val="14"/>
        <w:keepNext w:val="0"/>
        <w:keepLines w:val="0"/>
        <w:pageBreakBefore w:val="0"/>
        <w:numPr>
          <w:ilvl w:val="0"/>
          <w:numId w:val="0"/>
        </w:numPr>
        <w:kinsoku/>
        <w:wordWrap/>
        <w:overflowPunct/>
        <w:topLinePunct w:val="0"/>
        <w:autoSpaceDE/>
        <w:bidi w:val="0"/>
        <w:adjustRightInd/>
        <w:snapToGrid/>
        <w:spacing w:line="440" w:lineRule="exact"/>
        <w:ind w:leftChars="200" w:right="0" w:rightChars="0"/>
        <w:jc w:val="both"/>
        <w:textAlignment w:val="auto"/>
        <w:rPr>
          <w:rFonts w:hint="eastAsia" w:ascii="宋体" w:hAnsi="宋体" w:eastAsia="宋体" w:cstheme="minorBidi"/>
          <w:color w:val="000000"/>
          <w:kern w:val="0"/>
          <w:sz w:val="28"/>
          <w:szCs w:val="28"/>
          <w:lang w:val="en-US" w:eastAsia="zh-CN" w:bidi="ar-SA"/>
        </w:rPr>
      </w:pPr>
    </w:p>
    <w:p>
      <w:pPr>
        <w:jc w:val="both"/>
        <w:rPr>
          <w:rFonts w:ascii="宋体" w:hAnsi="宋体" w:eastAsia="宋体"/>
          <w:b/>
          <w:bCs/>
          <w:color w:val="333333"/>
          <w:kern w:val="0"/>
          <w:sz w:val="30"/>
          <w:szCs w:val="30"/>
        </w:rPr>
      </w:pPr>
    </w:p>
    <w:p>
      <w:pPr>
        <w:ind w:firstLine="560"/>
        <w:jc w:val="right"/>
        <w:rPr>
          <w:rFonts w:hint="default" w:ascii="宋体" w:hAnsi="宋体" w:eastAsia="宋体"/>
          <w:color w:val="000000"/>
          <w:kern w:val="0"/>
          <w:sz w:val="28"/>
          <w:szCs w:val="28"/>
          <w:lang w:val="en-US" w:eastAsia="zh-CN"/>
        </w:rPr>
      </w:pPr>
      <w:r>
        <w:rPr>
          <w:rFonts w:hint="eastAsia" w:ascii="宋体" w:hAnsi="宋体" w:eastAsia="宋体"/>
          <w:color w:val="000000"/>
          <w:kern w:val="0"/>
          <w:sz w:val="28"/>
          <w:szCs w:val="28"/>
        </w:rPr>
        <w:t>宁德职业技术学院</w:t>
      </w:r>
      <w:r>
        <w:rPr>
          <w:rFonts w:hint="eastAsia" w:ascii="宋体" w:hAnsi="宋体" w:eastAsia="宋体"/>
          <w:color w:val="000000"/>
          <w:kern w:val="0"/>
          <w:sz w:val="28"/>
          <w:szCs w:val="28"/>
          <w:lang w:val="en-US" w:eastAsia="zh-CN"/>
        </w:rPr>
        <w:t>新能源与智能制造学院</w:t>
      </w:r>
    </w:p>
    <w:p>
      <w:pPr>
        <w:ind w:firstLine="560"/>
        <w:jc w:val="center"/>
        <w:rPr>
          <w:rFonts w:ascii="宋体" w:hAnsi="宋体" w:eastAsia="宋体"/>
          <w:color w:val="000000"/>
          <w:sz w:val="28"/>
          <w:szCs w:val="28"/>
        </w:rPr>
      </w:pPr>
      <w:r>
        <w:rPr>
          <w:rFonts w:hint="eastAsia" w:ascii="宋体" w:hAnsi="宋体" w:eastAsia="宋体"/>
          <w:color w:val="000000"/>
          <w:kern w:val="0"/>
          <w:sz w:val="28"/>
          <w:szCs w:val="28"/>
          <w:lang w:val="en-US" w:eastAsia="zh-CN"/>
        </w:rPr>
        <w:t xml:space="preserve">                        </w:t>
      </w:r>
      <w:r>
        <w:rPr>
          <w:rFonts w:ascii="宋体" w:hAnsi="宋体" w:eastAsia="宋体"/>
          <w:color w:val="000000" w:themeColor="text1"/>
          <w:kern w:val="0"/>
          <w:sz w:val="28"/>
          <w:szCs w:val="28"/>
        </w:rPr>
        <w:t>202</w:t>
      </w:r>
      <w:r>
        <w:rPr>
          <w:rFonts w:hint="eastAsia" w:ascii="宋体" w:hAnsi="宋体" w:eastAsia="宋体"/>
          <w:color w:val="000000" w:themeColor="text1"/>
          <w:kern w:val="0"/>
          <w:sz w:val="28"/>
          <w:szCs w:val="28"/>
        </w:rPr>
        <w:t>2</w:t>
      </w:r>
      <w:r>
        <w:rPr>
          <w:rFonts w:ascii="宋体" w:hAnsi="宋体" w:eastAsia="宋体"/>
          <w:color w:val="000000" w:themeColor="text1"/>
          <w:kern w:val="0"/>
          <w:sz w:val="28"/>
          <w:szCs w:val="28"/>
        </w:rPr>
        <w:t xml:space="preserve">年 </w:t>
      </w:r>
      <w:r>
        <w:rPr>
          <w:rFonts w:hint="eastAsia" w:ascii="宋体" w:hAnsi="宋体" w:eastAsia="宋体"/>
          <w:color w:val="000000" w:themeColor="text1"/>
          <w:kern w:val="0"/>
          <w:sz w:val="28"/>
          <w:szCs w:val="28"/>
          <w:lang w:val="en-US" w:eastAsia="zh-CN"/>
        </w:rPr>
        <w:t>10</w:t>
      </w:r>
      <w:r>
        <w:rPr>
          <w:rFonts w:ascii="宋体" w:hAnsi="宋体" w:eastAsia="宋体"/>
          <w:color w:val="000000" w:themeColor="text1"/>
          <w:kern w:val="0"/>
          <w:sz w:val="28"/>
          <w:szCs w:val="28"/>
        </w:rPr>
        <w:t xml:space="preserve">月 </w:t>
      </w:r>
      <w:r>
        <w:rPr>
          <w:rFonts w:hint="eastAsia" w:ascii="宋体" w:hAnsi="宋体" w:eastAsia="宋体"/>
          <w:color w:val="000000" w:themeColor="text1"/>
          <w:kern w:val="0"/>
          <w:sz w:val="28"/>
          <w:szCs w:val="28"/>
          <w:lang w:val="en-US" w:eastAsia="zh-CN"/>
        </w:rPr>
        <w:t>12</w:t>
      </w:r>
      <w:r>
        <w:rPr>
          <w:rFonts w:ascii="宋体" w:hAnsi="宋体" w:eastAsia="宋体"/>
          <w:color w:val="000000" w:themeColor="text1"/>
          <w:kern w:val="0"/>
          <w:sz w:val="28"/>
          <w:szCs w:val="28"/>
        </w:rPr>
        <w:t xml:space="preserve"> 日</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D7C61"/>
    <w:multiLevelType w:val="multilevel"/>
    <w:tmpl w:val="6A2D7C61"/>
    <w:lvl w:ilvl="0" w:tentative="0">
      <w:start w:val="1"/>
      <w:numFmt w:val="bullet"/>
      <w:pStyle w:val="7"/>
      <w:lvlText w:val=""/>
      <w:lvlJc w:val="left"/>
      <w:pPr>
        <w:tabs>
          <w:tab w:val="left" w:pos="845"/>
        </w:tabs>
        <w:ind w:left="845" w:hanging="420"/>
      </w:pPr>
      <w:rPr>
        <w:rFonts w:hint="default" w:ascii="Wingdings" w:hAnsi="Wingdings"/>
      </w:rPr>
    </w:lvl>
    <w:lvl w:ilvl="1" w:tentative="0">
      <w:start w:val="1"/>
      <w:numFmt w:val="bullet"/>
      <w:lvlText w:val=""/>
      <w:lvlJc w:val="left"/>
      <w:pPr>
        <w:tabs>
          <w:tab w:val="left" w:pos="1265"/>
        </w:tabs>
        <w:ind w:left="1265" w:hanging="420"/>
      </w:pPr>
      <w:rPr>
        <w:rFonts w:hint="default" w:ascii="Wingdings" w:hAnsi="Wingdings"/>
      </w:rPr>
    </w:lvl>
    <w:lvl w:ilvl="2" w:tentative="0">
      <w:start w:val="1"/>
      <w:numFmt w:val="bullet"/>
      <w:lvlText w:val=""/>
      <w:lvlJc w:val="left"/>
      <w:pPr>
        <w:tabs>
          <w:tab w:val="left" w:pos="1685"/>
        </w:tabs>
        <w:ind w:left="1685" w:hanging="420"/>
      </w:pPr>
      <w:rPr>
        <w:rFonts w:hint="default" w:ascii="Wingdings" w:hAnsi="Wingdings"/>
      </w:rPr>
    </w:lvl>
    <w:lvl w:ilvl="3" w:tentative="0">
      <w:start w:val="1"/>
      <w:numFmt w:val="bullet"/>
      <w:lvlText w:val=""/>
      <w:lvlJc w:val="left"/>
      <w:pPr>
        <w:tabs>
          <w:tab w:val="left" w:pos="2105"/>
        </w:tabs>
        <w:ind w:left="2105" w:hanging="420"/>
      </w:pPr>
      <w:rPr>
        <w:rFonts w:hint="default" w:ascii="Wingdings" w:hAnsi="Wingdings"/>
      </w:rPr>
    </w:lvl>
    <w:lvl w:ilvl="4" w:tentative="0">
      <w:start w:val="1"/>
      <w:numFmt w:val="bullet"/>
      <w:lvlText w:val=""/>
      <w:lvlJc w:val="left"/>
      <w:pPr>
        <w:tabs>
          <w:tab w:val="left" w:pos="2525"/>
        </w:tabs>
        <w:ind w:left="2525" w:hanging="420"/>
      </w:pPr>
      <w:rPr>
        <w:rFonts w:hint="default" w:ascii="Wingdings" w:hAnsi="Wingdings"/>
      </w:rPr>
    </w:lvl>
    <w:lvl w:ilvl="5" w:tentative="0">
      <w:start w:val="1"/>
      <w:numFmt w:val="bullet"/>
      <w:lvlText w:val=""/>
      <w:lvlJc w:val="left"/>
      <w:pPr>
        <w:tabs>
          <w:tab w:val="left" w:pos="2945"/>
        </w:tabs>
        <w:ind w:left="2945" w:hanging="420"/>
      </w:pPr>
      <w:rPr>
        <w:rFonts w:hint="default" w:ascii="Wingdings" w:hAnsi="Wingdings"/>
      </w:rPr>
    </w:lvl>
    <w:lvl w:ilvl="6" w:tentative="0">
      <w:start w:val="1"/>
      <w:numFmt w:val="bullet"/>
      <w:lvlText w:val=""/>
      <w:lvlJc w:val="left"/>
      <w:pPr>
        <w:tabs>
          <w:tab w:val="left" w:pos="3365"/>
        </w:tabs>
        <w:ind w:left="3365" w:hanging="420"/>
      </w:pPr>
      <w:rPr>
        <w:rFonts w:hint="default" w:ascii="Wingdings" w:hAnsi="Wingdings"/>
      </w:rPr>
    </w:lvl>
    <w:lvl w:ilvl="7" w:tentative="0">
      <w:start w:val="1"/>
      <w:numFmt w:val="bullet"/>
      <w:lvlText w:val=""/>
      <w:lvlJc w:val="left"/>
      <w:pPr>
        <w:tabs>
          <w:tab w:val="left" w:pos="3785"/>
        </w:tabs>
        <w:ind w:left="3785" w:hanging="420"/>
      </w:pPr>
      <w:rPr>
        <w:rFonts w:hint="default" w:ascii="Wingdings" w:hAnsi="Wingdings"/>
      </w:rPr>
    </w:lvl>
    <w:lvl w:ilvl="8" w:tentative="0">
      <w:start w:val="1"/>
      <w:numFmt w:val="bullet"/>
      <w:lvlText w:val=""/>
      <w:lvlJc w:val="left"/>
      <w:pPr>
        <w:tabs>
          <w:tab w:val="left" w:pos="4205"/>
        </w:tabs>
        <w:ind w:left="4205"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FiYjhiYTA5MzhlYTAxZDQ0OWNiMDk2MjE4ZDIwZWEifQ=="/>
  </w:docVars>
  <w:rsids>
    <w:rsidRoot w:val="00BA0C1A"/>
    <w:rsid w:val="000C51B7"/>
    <w:rsid w:val="000E298D"/>
    <w:rsid w:val="00216EB9"/>
    <w:rsid w:val="0059531B"/>
    <w:rsid w:val="00616505"/>
    <w:rsid w:val="0062213C"/>
    <w:rsid w:val="00633F40"/>
    <w:rsid w:val="006549AD"/>
    <w:rsid w:val="00684D9C"/>
    <w:rsid w:val="006B18D5"/>
    <w:rsid w:val="007050AB"/>
    <w:rsid w:val="007C7D40"/>
    <w:rsid w:val="00A60633"/>
    <w:rsid w:val="00BA0C1A"/>
    <w:rsid w:val="00C061CB"/>
    <w:rsid w:val="00C604EC"/>
    <w:rsid w:val="00C91A65"/>
    <w:rsid w:val="00E26251"/>
    <w:rsid w:val="00EA1EE8"/>
    <w:rsid w:val="00F0730B"/>
    <w:rsid w:val="00F53662"/>
    <w:rsid w:val="00FE5F52"/>
    <w:rsid w:val="012C69C4"/>
    <w:rsid w:val="083D07F0"/>
    <w:rsid w:val="105E3B74"/>
    <w:rsid w:val="1C2C4424"/>
    <w:rsid w:val="1CD54CE6"/>
    <w:rsid w:val="1DBD4EA9"/>
    <w:rsid w:val="1DEC38DC"/>
    <w:rsid w:val="277A5FE6"/>
    <w:rsid w:val="30456175"/>
    <w:rsid w:val="36772279"/>
    <w:rsid w:val="38F65E92"/>
    <w:rsid w:val="434067C1"/>
    <w:rsid w:val="448220C9"/>
    <w:rsid w:val="49491A2D"/>
    <w:rsid w:val="568D20C3"/>
    <w:rsid w:val="5D560D33"/>
    <w:rsid w:val="5D9F0069"/>
    <w:rsid w:val="6E0C1E47"/>
    <w:rsid w:val="6EAF13B0"/>
    <w:rsid w:val="6F7A4470"/>
    <w:rsid w:val="71061E72"/>
    <w:rsid w:val="767D484E"/>
    <w:rsid w:val="77E6D5F5"/>
    <w:rsid w:val="7A3B2499"/>
    <w:rsid w:val="D5DFBFF2"/>
    <w:rsid w:val="FABDE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rFonts w:ascii="微软雅黑" w:hAnsi="微软雅黑" w:eastAsia="微软雅黑" w:cs="微软雅黑"/>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next w:val="7"/>
    <w:qFormat/>
    <w:uiPriority w:val="10"/>
    <w:pPr>
      <w:jc w:val="center"/>
    </w:pPr>
    <w:rPr>
      <w:rFonts w:ascii="Cambria" w:hAnsi="Cambria" w:eastAsia="微软雅黑" w:cs="Times New Roman"/>
      <w:iCs/>
      <w:color w:val="243F60"/>
      <w:sz w:val="10"/>
      <w:szCs w:val="60"/>
      <w:lang w:val="en-US" w:eastAsia="en-US" w:bidi="en-US"/>
    </w:rPr>
  </w:style>
  <w:style w:type="paragraph" w:customStyle="1" w:styleId="7">
    <w:name w:val="正文 + 行距: 1.5 倍行距"/>
    <w:next w:val="1"/>
    <w:qFormat/>
    <w:uiPriority w:val="0"/>
    <w:pPr>
      <w:numPr>
        <w:ilvl w:val="0"/>
        <w:numId w:val="1"/>
      </w:numPr>
      <w:spacing w:line="360" w:lineRule="auto"/>
    </w:pPr>
    <w:rPr>
      <w:rFonts w:ascii="Calibri" w:hAnsi="Calibri" w:eastAsia="微软雅黑" w:cs="Times New Roman"/>
      <w:sz w:val="24"/>
      <w:lang w:val="en-US" w:eastAsia="en-US" w:bidi="en-U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5"/>
    <w:semiHidden/>
    <w:qFormat/>
    <w:uiPriority w:val="99"/>
    <w:rPr>
      <w:sz w:val="18"/>
      <w:szCs w:val="18"/>
    </w:rPr>
  </w:style>
  <w:style w:type="character" w:customStyle="1" w:styleId="12">
    <w:name w:val="页脚 字符"/>
    <w:basedOn w:val="10"/>
    <w:link w:val="4"/>
    <w:semiHidden/>
    <w:qFormat/>
    <w:uiPriority w:val="99"/>
    <w:rPr>
      <w:sz w:val="18"/>
      <w:szCs w:val="18"/>
    </w:rPr>
  </w:style>
  <w:style w:type="paragraph" w:customStyle="1" w:styleId="13">
    <w:name w:val="列出段落1"/>
    <w:basedOn w:val="1"/>
    <w:qFormat/>
    <w:uiPriority w:val="34"/>
    <w:pPr>
      <w:ind w:firstLine="420" w:firstLineChars="200"/>
    </w:pPr>
  </w:style>
  <w:style w:type="paragraph" w:styleId="14">
    <w:name w:val="List Paragraph"/>
    <w:basedOn w:val="1"/>
    <w:unhideWhenUsed/>
    <w:qFormat/>
    <w:uiPriority w:val="99"/>
    <w:pPr>
      <w:ind w:firstLine="420" w:firstLineChars="200"/>
    </w:pPr>
  </w:style>
  <w:style w:type="character" w:customStyle="1" w:styleId="15">
    <w:name w:val="批注框文本 字符"/>
    <w:basedOn w:val="10"/>
    <w:link w:val="3"/>
    <w:semiHidden/>
    <w:qFormat/>
    <w:uiPriority w:val="99"/>
    <w:rPr>
      <w:rFonts w:asciiTheme="minorHAnsi" w:hAnsiTheme="minorHAnsi" w:eastAsiaTheme="minorEastAsia" w:cstheme="minorBidi"/>
      <w:kern w:val="2"/>
      <w:sz w:val="18"/>
      <w:szCs w:val="18"/>
    </w:rPr>
  </w:style>
  <w:style w:type="paragraph" w:customStyle="1" w:styleId="16">
    <w:name w:val="正文（深信服科技）"/>
    <w:basedOn w:val="1"/>
    <w:qFormat/>
    <w:uiPriority w:val="0"/>
    <w:pPr>
      <w:widowControl/>
      <w:autoSpaceDE/>
      <w:autoSpaceDN/>
      <w:snapToGrid w:val="0"/>
      <w:ind w:firstLine="480" w:firstLineChars="200"/>
      <w:jc w:val="both"/>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1540</Words>
  <Characters>1617</Characters>
  <Lines>5</Lines>
  <Paragraphs>1</Paragraphs>
  <TotalTime>29</TotalTime>
  <ScaleCrop>false</ScaleCrop>
  <LinksUpToDate>false</LinksUpToDate>
  <CharactersWithSpaces>1662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2022-08-11T02:32:00Z</dcterms:created>
  <dc:creator>Tencent</dc:creator>
  <cp:lastModifiedBy>He。</cp:lastModifiedBy>
  <cp:lastPrinted>2022-09-21T02:12:00Z</cp:lastPrinted>
  <dcterms:modified xsi:type="dcterms:W3CDTF">2022-10-12T06:37:00Z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7A21DB33A039470089697A0D4F682A9B</vt:lpwstr>
  </property>
</Properties>
</file>