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宁德职业技术学院</w:t>
      </w:r>
    </w:p>
    <w:p>
      <w:pPr>
        <w:jc w:val="center"/>
        <w:rPr>
          <w:rFonts w:hint="eastAsia" w:ascii="宋体" w:hAnsi="宋体" w:eastAsia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val="en-US" w:eastAsia="zh-CN"/>
        </w:rPr>
        <w:t>3门精品在线开放课程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建设</w:t>
      </w:r>
      <w:r>
        <w:rPr>
          <w:rFonts w:ascii="宋体" w:hAnsi="宋体" w:eastAsia="宋体"/>
          <w:b/>
          <w:bCs/>
          <w:color w:val="333333"/>
          <w:kern w:val="0"/>
          <w:sz w:val="30"/>
          <w:szCs w:val="30"/>
        </w:rPr>
        <w:t>方案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val="en-US" w:eastAsia="zh-CN"/>
        </w:rPr>
        <w:t>需求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为助力教学资源立体化，提高教学效果；助力教学团队优化，增强核心竞争力；助力“双高”专业群建设，服务社会。根据《福建省职业教育精品在线开放课程建设指南（试行）》等文件指导，我院积极筹建精品在线开放课程。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一、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  <w:t>根据双高专业群建设及实际教研室课程需求情况，率先建设《电气控制技术与PLC》，《逆向工程与3D打印》及《塑料模具设计与制造》三门精品在线开放课程,建设的内容主要包含教材、教学PPT、教学视频及教学动画、教学案例及思政案例等具体建设内容如下建设清单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：</w:t>
      </w:r>
    </w:p>
    <w:tbl>
      <w:tblPr>
        <w:tblStyle w:val="8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181"/>
        <w:gridCol w:w="1181"/>
        <w:gridCol w:w="355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产品名称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内容内容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成果要求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《电气控制技术与PLC》</w:t>
            </w:r>
            <w:r>
              <w:rPr>
                <w:rFonts w:hint="eastAsia" w:ascii="宋体" w:hAnsi="宋体" w:cs="宋体"/>
                <w:szCs w:val="21"/>
                <w:lang w:eastAsia="zh-CN" w:bidi="ar"/>
              </w:rPr>
              <w:t>在线</w:t>
            </w:r>
            <w:r>
              <w:rPr>
                <w:rFonts w:hint="eastAsia" w:ascii="宋体" w:hAnsi="宋体" w:cs="宋体"/>
                <w:szCs w:val="21"/>
                <w:lang w:bidi="ar"/>
              </w:rPr>
              <w:t>开</w:t>
            </w:r>
            <w:r>
              <w:rPr>
                <w:rFonts w:hint="eastAsia" w:ascii="宋体" w:hAnsi="宋体" w:cs="宋体"/>
                <w:szCs w:val="21"/>
                <w:lang w:eastAsia="zh-CN" w:bidi="ar"/>
              </w:rPr>
              <w:t>放</w:t>
            </w:r>
            <w:r>
              <w:rPr>
                <w:rFonts w:hint="eastAsia" w:ascii="宋体" w:hAnsi="宋体" w:cs="宋体"/>
                <w:szCs w:val="21"/>
                <w:lang w:bidi="ar"/>
              </w:rPr>
              <w:t>课程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教材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编写与出版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按照课程标准进行教材开发，字数不少于10万字。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电子教案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用以指导具体教学实施的设计文档，一般包括教学目标、内容、方法、手段、资源使用、评价考核等方面的内容。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多媒体教学PPT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PPT模板设计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PPT内容设计与制作（根据章节知识点背景、教学场景、教学编排等设计满足学校需求的PPT）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微课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1.教学任务和教学目标，搭建微课程的内容设计框架。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2.根据知识点或技能点进行内容设计拍摄和制作，视频包含片头片尾，MP4格式。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操作视频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实训视频（</w:t>
            </w:r>
            <w:r>
              <w:rPr>
                <w:rFonts w:hint="eastAsia" w:ascii="宋体" w:hAnsi="宋体" w:cs="宋体"/>
                <w:kern w:val="0"/>
                <w:szCs w:val="21"/>
              </w:rPr>
              <w:t>每个3-10分钟。每个视频必须设计片头片尾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试题库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综合测试题，主要包含选择、判断、填空、问答等形式。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项目测试题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以项目或单元为单位进行编写测试题，内容覆盖整本教材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动画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根据技能点，制作动画，3-30秒，2DFlash动画或者3D动画。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素材库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根据技能点提供碎片化素材，主要格式为图片、视频、动画、文档等格式，需要提供两种以上格式素材。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课程封装网页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1）参照国家级精品课程评审标准，包含课程动态教学网站引导页面（包括课程主页、师资团队、课程设计、课程资源、教学改革、实训条件、校企合作、互动交流等）的设计根据学校具体要求定制与开发，课程栏目规划、框架设计，支持各种课程资源的上传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（2）采用Java语言、B/S架构：通过浏览器即可登陆和管理网站，便于教师在任何时间和地点对课程网站的内容进行维护，而不需要安装客户端。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</w:rPr>
              <w:t>（3）支持各种教学素材上传：能够对教师的文本素材、图片素材、音视频、动画、PPT课件、word文件、PDF文件、EXCEL表格等各种教学资源提供丰富多样的上传形式。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《逆向工程与3D打印》核心共享网络课程开发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课程标准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课程建设及教学实施的规范性文件，一般包括课程概述（性质、定位、设计思路等）、课程特点、教学目标、教学内容与学时分配、模块教学设计、考核标准与方式、教材与资源的选用、师资要求、教学环境要求等内容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校本教材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按照课程标准进行校本教材开发，字数不少于10万字。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电子教案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用以指导具体教学实施的设计文档，一般包括教学目标、内容、方法、手段、资源使用、评价考核等方面的内容。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多媒体教学PPT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PPT模板设计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PPT内容设计与制作（根据章节知识点背景、教学场景、教学编排等设计满足学校需求的PPT）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微课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1.教学任务和教学目标，搭建微课程的内容设计框架。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2.根据知识点或技能点进行内容设计拍摄和制作，视频包含片头片尾，MP4格式。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操作视频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实训视频（单</w:t>
            </w:r>
            <w:r>
              <w:rPr>
                <w:rFonts w:hint="eastAsia" w:ascii="宋体" w:hAnsi="宋体" w:cs="宋体"/>
                <w:kern w:val="0"/>
                <w:szCs w:val="21"/>
              </w:rPr>
              <w:t>机位，每个3-10分钟。每个视频必须设计片头片尾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试题库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综合测试题，主要包含选择、判断、填空、问答等形式。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项目测试题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以项目或单元为单位进行编写测试题，内容覆盖整本教材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素材库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根据技能点提供碎片化素材，主要格式为微视频、文档、图片，需提供两个以上格式素材。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课程封装网页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（1）参照国家级精品课程评审标准，包含课程动态教学网站引导页面（包括课程主页、师资团队、课程设计、课程资源、教学改革、实训条件、校企合作、互动交流等）的设计根据学校具体要求定制与开发，课程栏目规划、框架设计，支持各种课程资源的上传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（2）采用Java语言、B/S架构：通过浏览器即可登陆和管理网站，便于教师在任何时间和地点对课程网站的内容进行维护，而不需要安装客户端。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</w:rPr>
              <w:t>（3）支持各种教学素材上传：能够对教师的文本素材、图片素材、音视频、动画、PPT课件、word文件、PDF文件、EXCEL表格等各种教学资源提供丰富多样的上传形式。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《塑料模具设计与制造》核心共享网络课程开发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课程标准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课程建设及教学实施的规范性文件，一般包括课程概述（性质、定位、设计思路等）、课程特点、教学目标、教学内容与学时分配、模块教学设计、考核标准与方式、教材与资源的选用、师资要求、教学环境要求等内容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校本教材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按照课程标准进行校本教材开发，字数不少于10万字。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电子教案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用以指导具体教学实施的设计文档，一般包括教学目标、内容、方法、手段、资源使用、评价考核等方面的内容。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多媒体教学PPT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PPT模板设计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PPT内容设计与制作（根据章节知识点背景、教学场景、教学编排等设计满足学校需求的PPT）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微课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1.教学任务和教学目标，搭建微课程的内容设计框架。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2.根据知识点或技能点进行内容设计拍摄和制作，视频包含片头片尾，MP4格式。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操作视频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实训视频（单</w:t>
            </w:r>
            <w:r>
              <w:rPr>
                <w:rFonts w:hint="eastAsia" w:ascii="宋体" w:hAnsi="宋体" w:cs="宋体"/>
                <w:kern w:val="0"/>
                <w:szCs w:val="21"/>
              </w:rPr>
              <w:t>机位，每个3-10分钟。每个视频必须设计片头片尾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试题库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综合测试题，主要包含选择、判断、填空、问答等形式。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项目测试题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以项目或单元为单位进行编写测试题，内容覆盖整本教材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素材库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根据技能点提供碎片化素材，主要格式为微视频、文档、图片，需提供两个以上格式素材。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课程封装网页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（1）参照国家级精品课程评审标准，包含课程动态教学网站引导页面（包括课程主页、师资团队、课程设计、课程资源、教学改革、实训条件、校企合作、互动交流等）的设计根据学校具体要求定制与开发，课程栏目规划、框架设计，支持各种课程资源的上传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（2）采用Java语言、B/S架构：通过浏览器即可登陆和管理网站，便于教师在任何时间和地点对课程网站的内容进行维护，而不需要安装客户端。</w:t>
            </w:r>
          </w:p>
          <w:p>
            <w:pPr>
              <w:pStyle w:val="13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</w:rPr>
              <w:t>（3）支持各种教学素材上传：能够对教师的文本素材、图片素材、音视频、动画、PPT课件、word文件、PDF文件、EXCEL表格等各种教学资源提供丰富多样的上传形式。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</w:tbl>
    <w:p>
      <w:pPr>
        <w:pStyle w:val="14"/>
        <w:spacing w:line="440" w:lineRule="exact"/>
        <w:ind w:left="420" w:leftChars="200" w:firstLine="0" w:firstLineChars="0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</w:p>
    <w:p>
      <w:pPr>
        <w:ind w:firstLine="560"/>
        <w:jc w:val="right"/>
        <w:rPr>
          <w:rFonts w:hint="eastAsia" w:ascii="宋体" w:hAnsi="宋体" w:eastAsia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</w:rPr>
        <w:t>宁德职业技术学院</w:t>
      </w:r>
      <w:r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  <w:t>新能源与智能制造学院</w:t>
      </w:r>
    </w:p>
    <w:p>
      <w:pPr>
        <w:ind w:firstLine="560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D7C61"/>
    <w:multiLevelType w:val="multilevel"/>
    <w:tmpl w:val="6A2D7C61"/>
    <w:lvl w:ilvl="0" w:tentative="0">
      <w:start w:val="1"/>
      <w:numFmt w:val="bullet"/>
      <w:pStyle w:val="3"/>
      <w:lvlText w:val="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jhiYTA5MzhlYTAxZDQ0OWNiMDk2MjE4ZDIwZWEifQ=="/>
  </w:docVars>
  <w:rsids>
    <w:rsidRoot w:val="00BA0C1A"/>
    <w:rsid w:val="000C51B7"/>
    <w:rsid w:val="000E298D"/>
    <w:rsid w:val="001324B1"/>
    <w:rsid w:val="001E5C80"/>
    <w:rsid w:val="002115B8"/>
    <w:rsid w:val="00216EB9"/>
    <w:rsid w:val="00337A39"/>
    <w:rsid w:val="0059531B"/>
    <w:rsid w:val="005C1FD4"/>
    <w:rsid w:val="005F1E1B"/>
    <w:rsid w:val="00616505"/>
    <w:rsid w:val="0062213C"/>
    <w:rsid w:val="00633F40"/>
    <w:rsid w:val="006549AD"/>
    <w:rsid w:val="00684A38"/>
    <w:rsid w:val="00684D9C"/>
    <w:rsid w:val="006A5CF5"/>
    <w:rsid w:val="006B18D5"/>
    <w:rsid w:val="007050AB"/>
    <w:rsid w:val="007C7D40"/>
    <w:rsid w:val="007D69F1"/>
    <w:rsid w:val="008A4C2C"/>
    <w:rsid w:val="00A60633"/>
    <w:rsid w:val="00BA0C1A"/>
    <w:rsid w:val="00C061CB"/>
    <w:rsid w:val="00C604EC"/>
    <w:rsid w:val="00C91A65"/>
    <w:rsid w:val="00D713C5"/>
    <w:rsid w:val="00E26251"/>
    <w:rsid w:val="00E42AB7"/>
    <w:rsid w:val="00E44496"/>
    <w:rsid w:val="00EA1EE8"/>
    <w:rsid w:val="00F0730B"/>
    <w:rsid w:val="00F53662"/>
    <w:rsid w:val="00FE5F52"/>
    <w:rsid w:val="00FF240D"/>
    <w:rsid w:val="07E4257C"/>
    <w:rsid w:val="083D07F0"/>
    <w:rsid w:val="0B107E8B"/>
    <w:rsid w:val="105E3B74"/>
    <w:rsid w:val="1B9C3C2F"/>
    <w:rsid w:val="1C2C4424"/>
    <w:rsid w:val="1CD54CE6"/>
    <w:rsid w:val="1DBD4EA9"/>
    <w:rsid w:val="1DEC38DC"/>
    <w:rsid w:val="273620D5"/>
    <w:rsid w:val="277A5FE6"/>
    <w:rsid w:val="2F8B1D7E"/>
    <w:rsid w:val="30456175"/>
    <w:rsid w:val="36772279"/>
    <w:rsid w:val="37B808CB"/>
    <w:rsid w:val="38F06DDF"/>
    <w:rsid w:val="38F65E92"/>
    <w:rsid w:val="39EE33D6"/>
    <w:rsid w:val="434067C1"/>
    <w:rsid w:val="48884D37"/>
    <w:rsid w:val="4B9A123D"/>
    <w:rsid w:val="528B3EA6"/>
    <w:rsid w:val="568D20C3"/>
    <w:rsid w:val="598F0B5A"/>
    <w:rsid w:val="5A7E3D04"/>
    <w:rsid w:val="5D330497"/>
    <w:rsid w:val="673D154B"/>
    <w:rsid w:val="6BC71B07"/>
    <w:rsid w:val="6DDC5CCC"/>
    <w:rsid w:val="6EAF13B0"/>
    <w:rsid w:val="6F2754E5"/>
    <w:rsid w:val="6F7A4470"/>
    <w:rsid w:val="71061E72"/>
    <w:rsid w:val="77E6D5F5"/>
    <w:rsid w:val="7A3B2499"/>
    <w:rsid w:val="D5DFBFF2"/>
    <w:rsid w:val="FABD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10"/>
    <w:pPr>
      <w:jc w:val="center"/>
    </w:pPr>
    <w:rPr>
      <w:rFonts w:ascii="Cambria" w:hAnsi="Cambria" w:eastAsia="微软雅黑" w:cs="Times New Roman"/>
      <w:iCs/>
      <w:color w:val="243F60"/>
      <w:sz w:val="10"/>
      <w:szCs w:val="60"/>
      <w:lang w:val="en-US" w:eastAsia="en-US" w:bidi="en-US"/>
    </w:rPr>
  </w:style>
  <w:style w:type="paragraph" w:customStyle="1" w:styleId="3">
    <w:name w:val="正文 + 行距: 1.5 倍行距"/>
    <w:next w:val="1"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微软雅黑" w:cs="Times New Roman"/>
      <w:sz w:val="24"/>
      <w:lang w:val="en-US" w:eastAsia="en-US" w:bidi="en-US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（深信服科技）"/>
    <w:basedOn w:val="1"/>
    <w:qFormat/>
    <w:uiPriority w:val="0"/>
    <w:pPr>
      <w:widowControl/>
      <w:snapToGrid w:val="0"/>
      <w:ind w:firstLine="480" w:firstLineChars="200"/>
    </w:pPr>
    <w:rPr>
      <w:sz w:val="24"/>
      <w:szCs w:val="24"/>
    </w:rPr>
  </w:style>
  <w:style w:type="paragraph" w:styleId="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2392</Words>
  <Characters>2519</Characters>
  <Lines>36</Lines>
  <Paragraphs>10</Paragraphs>
  <TotalTime>30</TotalTime>
  <ScaleCrop>false</ScaleCrop>
  <LinksUpToDate>false</LinksUpToDate>
  <CharactersWithSpaces>2547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2022-08-11T02:32:00Z</dcterms:created>
  <dc:creator>Tencent</dc:creator>
  <cp:lastModifiedBy>He。</cp:lastModifiedBy>
  <cp:lastPrinted>2022-09-03T01:30:00Z</cp:lastPrinted>
  <dcterms:modified xsi:type="dcterms:W3CDTF">2022-12-09T01:48:47Z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7A21DB33A039470089697A0D4F682A9B</vt:lpwstr>
  </property>
</Properties>
</file>