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55" w:lineRule="atLeast"/>
        <w:ind w:left="0" w:right="0" w:firstLine="0"/>
        <w:jc w:val="both"/>
        <w:rPr>
          <w:rFonts w:hint="eastAsia" w:ascii="黑体" w:hAnsi="黑体" w:eastAsia="黑体" w:cs="黑体"/>
          <w:b/>
          <w:bCs/>
          <w:i w:val="0"/>
          <w:iCs w:val="0"/>
          <w:caps w:val="0"/>
          <w:color w:val="383838"/>
          <w:spacing w:val="0"/>
          <w:sz w:val="44"/>
          <w:szCs w:val="44"/>
          <w:shd w:val="clear" w:fill="FFFFFF"/>
        </w:rPr>
      </w:pPr>
    </w:p>
    <w:p>
      <w:pPr>
        <w:spacing w:line="500" w:lineRule="exact"/>
        <w:jc w:val="center"/>
        <w:rPr>
          <w:rFonts w:hint="eastAsia" w:ascii="仿宋_GB2312" w:hAnsi="宋体" w:eastAsia="仿宋_GB2312"/>
          <w:sz w:val="32"/>
        </w:rPr>
      </w:pPr>
      <w:r>
        <w:rPr>
          <w:rFonts w:hint="eastAsia" w:ascii="仿宋_GB2312" w:hAnsi="宋体" w:eastAsia="仿宋_GB2312"/>
          <w:sz w:val="32"/>
        </w:rPr>
        <w:t>宁职院纪〔202</w:t>
      </w:r>
      <w:r>
        <w:rPr>
          <w:rFonts w:hint="eastAsia" w:ascii="仿宋_GB2312" w:hAnsi="宋体" w:eastAsia="仿宋_GB2312"/>
          <w:sz w:val="32"/>
          <w:lang w:val="en-US" w:eastAsia="zh-CN"/>
        </w:rPr>
        <w:t>3</w:t>
      </w:r>
      <w:r>
        <w:rPr>
          <w:rFonts w:hint="eastAsia" w:ascii="仿宋_GB2312" w:hAnsi="宋体" w:eastAsia="仿宋_GB2312"/>
          <w:sz w:val="32"/>
        </w:rPr>
        <w:t>〕</w:t>
      </w:r>
      <w:r>
        <w:rPr>
          <w:rFonts w:hint="eastAsia" w:ascii="仿宋_GB2312" w:hAnsi="宋体" w:eastAsia="仿宋_GB2312"/>
          <w:sz w:val="32"/>
          <w:lang w:val="en-US" w:eastAsia="zh-CN"/>
        </w:rPr>
        <w:t>3</w:t>
      </w:r>
      <w:r>
        <w:rPr>
          <w:rFonts w:hint="eastAsia" w:ascii="仿宋_GB2312" w:hAnsi="宋体" w:eastAsia="仿宋_GB2312"/>
          <w:sz w:val="32"/>
        </w:rPr>
        <w:t>号</w:t>
      </w:r>
    </w:p>
    <w:p>
      <w:pPr>
        <w:spacing w:line="500" w:lineRule="exact"/>
        <w:jc w:val="center"/>
        <w:rPr>
          <w:rFonts w:hint="eastAsia" w:ascii="仿宋_GB2312" w:hAnsi="宋体" w:eastAsia="仿宋_GB2312"/>
          <w:sz w:val="32"/>
        </w:rPr>
      </w:pPr>
    </w:p>
    <w:p>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进一步加强</w:t>
      </w:r>
      <w:r>
        <w:rPr>
          <w:rFonts w:hint="eastAsia" w:ascii="方正小标宋简体" w:hAnsi="方正小标宋简体" w:eastAsia="方正小标宋简体" w:cs="方正小标宋简体"/>
          <w:sz w:val="44"/>
          <w:szCs w:val="44"/>
        </w:rPr>
        <w:t>经常性纪律教育的通知</w:t>
      </w:r>
    </w:p>
    <w:p>
      <w:pP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各党总支、机关各党支部：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为深入学习贯彻习近平总书记在二十届中央纪委二次全会上的重要讲话精神，贯彻落实省纪委全会关于推进廉洁福建建设的部署要求和《中共福建省委教育工作委员会印发</w:t>
      </w:r>
      <w:r>
        <w:rPr>
          <w:rFonts w:hint="eastAsia" w:ascii="仿宋_GB2312" w:hAnsi="仿宋_GB2312" w:eastAsia="仿宋_GB2312" w:cs="仿宋_GB2312"/>
          <w:sz w:val="32"/>
          <w:szCs w:val="32"/>
          <w:lang w:val="en-US" w:eastAsia="zh-CN"/>
        </w:rPr>
        <w:t>&lt;关于廉洁学校建设的工作方案&gt;的通知</w:t>
      </w:r>
      <w:r>
        <w:rPr>
          <w:rFonts w:hint="eastAsia" w:ascii="仿宋_GB2312" w:hAnsi="仿宋_GB2312" w:eastAsia="仿宋_GB2312" w:cs="仿宋_GB2312"/>
          <w:sz w:val="32"/>
          <w:szCs w:val="32"/>
          <w:lang w:eastAsia="zh-CN"/>
        </w:rPr>
        <w:t>》的文件精神，全面加强学校党的纪律建设，不断推进纪律教育常态化、制度化，按照学校纪委</w:t>
      </w:r>
      <w:r>
        <w:rPr>
          <w:rFonts w:hint="eastAsia" w:ascii="仿宋_GB2312" w:hAnsi="仿宋_GB2312" w:eastAsia="仿宋_GB2312" w:cs="仿宋_GB2312"/>
          <w:sz w:val="32"/>
          <w:szCs w:val="32"/>
          <w:lang w:val="en-US" w:eastAsia="zh-CN"/>
        </w:rPr>
        <w:t>2023年工作安排，决定在全校范围内进一步加强经常性纪律教育，现将本学期开展纪律教育工作有关事项通知如下：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一、教育目的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bCs/>
          <w:sz w:val="32"/>
          <w:szCs w:val="32"/>
          <w:lang w:val="en-US" w:eastAsia="zh-CN"/>
        </w:rPr>
      </w:pPr>
      <w:r>
        <w:rPr>
          <w:rFonts w:hint="eastAsia" w:ascii="仿宋_GB2312" w:hAnsi="仿宋_GB2312" w:eastAsia="仿宋_GB2312" w:cs="仿宋_GB2312"/>
          <w:sz w:val="32"/>
          <w:szCs w:val="32"/>
          <w:lang w:val="en-US" w:eastAsia="zh-CN"/>
        </w:rPr>
        <w:t>纪律建设是全面从严治党的治本之策，是一体推进不敢腐、不能腐、不想腐的重要举措。立足学校实际，长期持续地开展纪律教育，抓在平常、融入日常，使全体党员干部真正敬畏纪律、遵守规矩，内化于心、外化于行，习惯在受监督和约束的环境中工作学习生活，进一步筑牢拒腐防变思想防线，为学校建设发展提供强有力纪律保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二、时间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2023年9月至2024年1月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三、参加对象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学校全体党员干部及行使公权力的教职员工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四、教育安排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召开专题学习会。在坚持个人自学的基础上，各党总支、机关各党支部每月至少召开一次专题理论学习会，组织全体党员干部学习习近平总书记关于加强纪律教育的重要论述、党章党规党纪、法律法规和学校相关纪律制度，引导全体党员干部强化理论武装，坚定理想信念，增强政治定力，并结合自身工作实际，深入挖掘重点领域、关键岗位、关键环节的廉政风险点，切实加强对廉政风险的防控管理，进一步提高廉洁自律意识，勇于担当作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廉洁警示教育活动。各党总支、机关各党支部通过组织全体党员干部集中观看警示教育片、学习相关警示教育文件的方式，注重用“身边事”教育“身边人”、用“同类事”教育“同类人”，引导全体党员干部从反面典型上受警醒，切实筑牢思想“红线”，守住行动“底线”，达到以案明纪、以案促改、正风肃纪的效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撰写纪律教育学习成果。本学期纪律教育学习结束后，各党总支、机关各党支部撰写纪律教育学习情况总结报告，全体党员干部至少认真撰写一篇心得体会，充分将学习成果转化为推动实际工作的重要动力，让纪律教育学习更加深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五、有关要求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加强领导，落实责任。各党总支、机关各党支部要充分认识开展经常性纪律教育的重要性，把开展好经常性纪律教育作为重要政治任务，扎实履行管党治党主体责任，聚焦重点学习教育内容，周密安排部署。领导干部要带头参与，精心组织好每一次的纪律教育学习，保证教育质量。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（二）统筹安排，注重实效。全体党员干部要坚持边学边改，自我净化，把纪律教育学习和本职工作结合起来，统筹兼顾，整体推进、相互促进，</w:t>
      </w:r>
      <w:bookmarkStart w:id="0" w:name="_GoBack"/>
      <w:bookmarkEnd w:id="0"/>
      <w:r>
        <w:rPr>
          <w:rFonts w:hint="eastAsia" w:ascii="仿宋_GB2312" w:hAnsi="仿宋_GB2312" w:eastAsia="仿宋_GB2312" w:cs="仿宋_GB2312"/>
          <w:color w:val="auto"/>
          <w:sz w:val="32"/>
          <w:szCs w:val="32"/>
          <w:lang w:val="en-US" w:eastAsia="zh-CN"/>
        </w:rPr>
        <w:t>以纪律教育实际成效确保学校各项工作落地见效。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监督，及时报送。各党总支、机关各党支部纪检委员要切实担负起监督责任，确保经常性纪律教育工作深入有序开展。校纪委将组织对经常性纪律教育开展情况进行检查。各党总支、机关各党支部要及时将学习教育开展情况（总结报告、心得体会、报道、照片等相关材料）于2024年1月20日前报送校纪委（联系邮箱</w:t>
      </w:r>
      <w:r>
        <w:rPr>
          <w:rFonts w:hint="eastAsia" w:ascii="仿宋_GB2312" w:hAnsi="仿宋_GB2312" w:eastAsia="仿宋_GB2312" w:cs="仿宋_GB2312"/>
          <w:color w:val="auto"/>
          <w:sz w:val="32"/>
          <w:szCs w:val="32"/>
          <w:lang w:val="en-US" w:eastAsia="zh-CN"/>
        </w:rPr>
        <w:t>：</w:t>
      </w:r>
      <w:r>
        <w:rPr>
          <w:rFonts w:ascii="微软雅黑" w:hAnsi="微软雅黑" w:eastAsia="微软雅黑" w:cs="微软雅黑"/>
          <w:i w:val="0"/>
          <w:iCs w:val="0"/>
          <w:caps w:val="0"/>
          <w:color w:val="auto"/>
          <w:spacing w:val="0"/>
          <w:sz w:val="27"/>
          <w:szCs w:val="27"/>
          <w:u w:val="none"/>
          <w:shd w:val="clear" w:fill="FFFFFF"/>
        </w:rPr>
        <w:fldChar w:fldCharType="begin"/>
      </w:r>
      <w:r>
        <w:rPr>
          <w:rFonts w:ascii="微软雅黑" w:hAnsi="微软雅黑" w:eastAsia="微软雅黑" w:cs="微软雅黑"/>
          <w:i w:val="0"/>
          <w:iCs w:val="0"/>
          <w:caps w:val="0"/>
          <w:color w:val="auto"/>
          <w:spacing w:val="0"/>
          <w:sz w:val="27"/>
          <w:szCs w:val="27"/>
          <w:u w:val="none"/>
          <w:shd w:val="clear" w:fill="FFFFFF"/>
        </w:rPr>
        <w:instrText xml:space="preserve"> HYPERLINK "mailto:nzyjjjcs@163.com" </w:instrText>
      </w:r>
      <w:r>
        <w:rPr>
          <w:rFonts w:ascii="微软雅黑" w:hAnsi="微软雅黑" w:eastAsia="微软雅黑" w:cs="微软雅黑"/>
          <w:i w:val="0"/>
          <w:iCs w:val="0"/>
          <w:caps w:val="0"/>
          <w:color w:val="auto"/>
          <w:spacing w:val="0"/>
          <w:sz w:val="27"/>
          <w:szCs w:val="27"/>
          <w:u w:val="none"/>
          <w:shd w:val="clear" w:fill="FFFFFF"/>
        </w:rPr>
        <w:fldChar w:fldCharType="separate"/>
      </w:r>
      <w:r>
        <w:rPr>
          <w:rStyle w:val="8"/>
          <w:rFonts w:ascii="仿宋_GB2312" w:hAnsi="微软雅黑" w:eastAsia="仿宋_GB2312" w:cs="仿宋_GB2312"/>
          <w:i w:val="0"/>
          <w:iCs w:val="0"/>
          <w:caps w:val="0"/>
          <w:color w:val="auto"/>
          <w:spacing w:val="0"/>
          <w:sz w:val="31"/>
          <w:szCs w:val="31"/>
          <w:u w:val="none"/>
          <w:shd w:val="clear" w:fill="FFFFFF"/>
        </w:rPr>
        <w:t>nzyjjjcs@163.com</w:t>
      </w:r>
      <w:r>
        <w:rPr>
          <w:rFonts w:hint="eastAsia" w:ascii="微软雅黑" w:hAnsi="微软雅黑" w:eastAsia="微软雅黑" w:cs="微软雅黑"/>
          <w:i w:val="0"/>
          <w:iCs w:val="0"/>
          <w:caps w:val="0"/>
          <w:color w:val="auto"/>
          <w:spacing w:val="0"/>
          <w:sz w:val="27"/>
          <w:szCs w:val="27"/>
          <w:u w:val="none"/>
          <w:shd w:val="clear" w:fill="FFFFFF"/>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附件：学习材料参考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中共宁德职业技术学院纪律检查委员会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2023年9月11日</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bCs/>
          <w:sz w:val="32"/>
          <w:szCs w:val="32"/>
          <w:lang w:val="en-US" w:eastAsia="zh-CN"/>
        </w:rPr>
      </w:pP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黑体" w:hAnsi="黑体" w:eastAsia="黑体" w:cs="黑体"/>
          <w:sz w:val="44"/>
          <w:szCs w:val="44"/>
          <w:lang w:val="en-US" w:eastAsia="zh-CN"/>
        </w:rPr>
        <w:t>学习材料参考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一、习近平总书记重要讲话重要指示批示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1.党的二十大报告。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2.习近平总书记在二十届中央纪委二次全会上的重要讲话精神。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3.习近平总书记关于党的自我革命、全面从严治党、党风廉政建设和反腐败斗争等的重要讲话精神。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4.《习近平新时代中国特色社会主义思想专题摘编》、《习近平关于全面从严治党论述摘编》、《习近平关于党风廉政建设和反腐败斗争论述摘编》、《习近平关于严明党的纪律和规矩论述摘编》等。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二、党章党规党纪和法律法规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1.党章、《关于新形势下党内政治生活的若干准则》、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《中国共产党纪律处分条例》、《中国共产党廉洁自律准则》、《关于规范党员干部网络行为的意见》、《党员干部用微信的八条负面清单》等。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2.《中华人民共和国公职人员政务处分法》、《中华人民共和国监察法》、《中华人民共和国监察法实施条例》、《信访工作条例》、《财政部 中国民用航空局关于加强公务机票购买管理有关事项的通知》、《宁德市财政局关于印发&lt;宁德市市直机关差旅费管理办法有关问题的解答（四）&gt;的通知》、《教育部关于建立健全高校师德建设长效机制的意见》、《教育部等七部门印发&lt;关于加强和改进新时代师德师风建设的意见&gt;的通知》、《教育部关于印发&lt;新时代高校教师职业行为十项准则&gt;&lt;新时代中小学教师职业行为十项准则&gt;&lt;新时代幼儿园教师职业行为十项准则&gt;的通知》（以上学习资料可在教育部网站上下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三、学校相关纪律制度文件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1.宁德职业技术学院制度汇编本。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四、典型案例学习材料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1.警示教育片：《扣好廉洁从政“第一粒扣子”》、《蚁贪之害》（由校纪委提供）。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2.《教育部公开曝光第十二批7起违反教师职业行为十项准则典型案例》、《教育部公开曝光第十三批7起违反教师职业行为十项准则典型案例》（以上学习资料可在教育部网站上下载）等。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tbl>
      <w:tblPr>
        <w:tblStyle w:val="4"/>
        <w:tblpPr w:leftFromText="180" w:rightFromText="180" w:vertAnchor="text" w:horzAnchor="page" w:tblpX="1563" w:tblpY="1666"/>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80" w:type="dxa"/>
            <w:noWrap w:val="0"/>
            <w:vAlign w:val="center"/>
          </w:tcPr>
          <w:p>
            <w:pPr>
              <w:tabs>
                <w:tab w:val="left" w:pos="5040"/>
              </w:tabs>
              <w:spacing w:line="260" w:lineRule="exact"/>
              <w:ind w:firstLine="140" w:firstLineChars="50"/>
              <w:rPr>
                <w:rFonts w:ascii="仿宋_GB2312" w:eastAsia="仿宋_GB2312"/>
                <w:sz w:val="28"/>
                <w:szCs w:val="28"/>
              </w:rPr>
            </w:pPr>
            <w:r>
              <w:rPr>
                <w:rFonts w:hint="eastAsia" w:ascii="仿宋_GB2312" w:eastAsia="仿宋_GB2312"/>
                <w:sz w:val="28"/>
                <w:szCs w:val="28"/>
              </w:rPr>
              <w:t>抄送：校领导</w:t>
            </w:r>
            <w:r>
              <w:rPr>
                <w:rFonts w:hint="eastAsia" w:ascii="仿宋_GB2312" w:eastAsia="仿宋_GB2312"/>
                <w:sz w:val="28"/>
                <w:szCs w:val="28"/>
                <w:lang w:eastAsia="zh-CN"/>
              </w:rPr>
              <w:t>班子成员</w:t>
            </w:r>
            <w:r>
              <w:rPr>
                <w:rFonts w:hint="eastAsia" w:ascii="仿宋_GB2312" w:eastAsia="仿宋_GB2312"/>
                <w:sz w:val="28"/>
                <w:szCs w:val="28"/>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80" w:type="dxa"/>
            <w:noWrap w:val="0"/>
            <w:vAlign w:val="center"/>
          </w:tcPr>
          <w:p>
            <w:pPr>
              <w:tabs>
                <w:tab w:val="left" w:pos="5040"/>
              </w:tabs>
              <w:spacing w:line="260" w:lineRule="exact"/>
              <w:ind w:firstLine="140" w:firstLineChars="50"/>
              <w:rPr>
                <w:rFonts w:hint="eastAsia" w:ascii="仿宋_GB2312" w:eastAsia="仿宋_GB2312"/>
                <w:sz w:val="28"/>
                <w:szCs w:val="28"/>
              </w:rPr>
            </w:pPr>
            <w:r>
              <w:rPr>
                <w:rFonts w:hint="eastAsia" w:ascii="仿宋_GB2312" w:eastAsia="仿宋_GB2312"/>
                <w:sz w:val="28"/>
                <w:szCs w:val="28"/>
              </w:rPr>
              <w:t>中共宁德职业技术学院纪律检查委员会          202</w:t>
            </w:r>
            <w:r>
              <w:rPr>
                <w:rFonts w:hint="eastAsia" w:ascii="仿宋_GB2312" w:eastAsia="仿宋_GB2312"/>
                <w:sz w:val="28"/>
                <w:szCs w:val="28"/>
                <w:lang w:val="en-US" w:eastAsia="zh-CN"/>
              </w:rPr>
              <w:t>3</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14</w:t>
            </w:r>
            <w:r>
              <w:rPr>
                <w:rFonts w:hint="eastAsia" w:ascii="仿宋_GB2312"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ZTBiM2MxMzhkYmZkNDVmYzRkYWE2MGQwNmNjOWYifQ=="/>
  </w:docVars>
  <w:rsids>
    <w:rsidRoot w:val="00000000"/>
    <w:rsid w:val="02B726F0"/>
    <w:rsid w:val="0A200B7B"/>
    <w:rsid w:val="0ABB445C"/>
    <w:rsid w:val="0F713C26"/>
    <w:rsid w:val="11161337"/>
    <w:rsid w:val="114C494B"/>
    <w:rsid w:val="144B77EF"/>
    <w:rsid w:val="16096967"/>
    <w:rsid w:val="1AF72B82"/>
    <w:rsid w:val="217E28FF"/>
    <w:rsid w:val="218617B3"/>
    <w:rsid w:val="2B77216D"/>
    <w:rsid w:val="306E3B3E"/>
    <w:rsid w:val="37773C20"/>
    <w:rsid w:val="384F42A3"/>
    <w:rsid w:val="38C42E95"/>
    <w:rsid w:val="3A13225A"/>
    <w:rsid w:val="448B2AB9"/>
    <w:rsid w:val="452D1DC2"/>
    <w:rsid w:val="46192347"/>
    <w:rsid w:val="49863411"/>
    <w:rsid w:val="4BE11211"/>
    <w:rsid w:val="4BEF10FE"/>
    <w:rsid w:val="574D4E80"/>
    <w:rsid w:val="59C21052"/>
    <w:rsid w:val="5BE2700B"/>
    <w:rsid w:val="6211064A"/>
    <w:rsid w:val="632578BD"/>
    <w:rsid w:val="6633758D"/>
    <w:rsid w:val="66B81508"/>
    <w:rsid w:val="67F81964"/>
    <w:rsid w:val="69C2047C"/>
    <w:rsid w:val="6F2614AD"/>
    <w:rsid w:val="73A2533E"/>
    <w:rsid w:val="744321B9"/>
    <w:rsid w:val="7C6673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Lenovo3</dc:creator>
  <cp:lastModifiedBy>樱</cp:lastModifiedBy>
  <cp:lastPrinted>2023-09-14T02:40:00Z</cp:lastPrinted>
  <dcterms:modified xsi:type="dcterms:W3CDTF">2023-09-21T00:40:35Z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99EE47A6DB3A4DA9BEC73F9FD52E389A_12</vt:lpwstr>
  </property>
</Properties>
</file>