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宁德职业技术学院</w:t>
      </w:r>
    </w:p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 xml:space="preserve"> AI电商综合实训基地采购方案征集需求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ascii="宋体" w:hAnsi="宋体" w:eastAsia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随着电子商务行业的迅猛发展，其呈现出全球化与 AI 化的显著趋势。为了紧跟这一发展潮流，培养适应市场需求的高素质电商人才，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满足电子商务专业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内容化与AI化发展趋势，我院计划建设AI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电商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综合教学实训基地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深化人才培养培训模式和评价模式改革，推进教师、教材、教法“三教”改革，建好用好实训基地，提升教育教学质量，提升学生就业能力，为社会培养高素质的劳动者和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电子商务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技术等相关专业技术技能人才。我校拟建设《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AI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电商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综合教学实训基地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的建设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项目》，建设需求如下：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一、建设目标</w:t>
      </w:r>
    </w:p>
    <w:p>
      <w:pPr>
        <w:pStyle w:val="2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本次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AI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电商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综合教学实训基地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的建设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包括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ru-RU" w:eastAsia="zh-CN"/>
        </w:rPr>
        <w:t>跨境电商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虚拟仿真实训室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ru-RU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AI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FFFFFF"/>
          <w:lang w:eastAsia="zh-CN"/>
        </w:rPr>
        <w:t>电商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科技实践基地各一间，每间实训室面积110平方米。</w:t>
      </w:r>
    </w:p>
    <w:p>
      <w:pPr>
        <w:pStyle w:val="20"/>
        <w:spacing w:line="440" w:lineRule="exact"/>
        <w:ind w:firstLine="0" w:firstLineChars="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二、建设内容、功能及需求：</w:t>
      </w:r>
    </w:p>
    <w:p>
      <w:pPr>
        <w:pStyle w:val="20"/>
        <w:spacing w:line="440" w:lineRule="exact"/>
        <w:ind w:firstLine="0" w:firstLineChars="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针对以上建设目标，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AI电商综合实训基地</w:t>
      </w:r>
      <w:r>
        <w:rPr>
          <w:rFonts w:hint="eastAsia" w:ascii="宋体" w:hAnsi="宋体" w:cs="宋体"/>
          <w:color w:val="000000"/>
          <w:kern w:val="0"/>
        </w:rPr>
        <w:t>建设需满足以下建设内容：</w:t>
      </w:r>
    </w:p>
    <w:tbl>
      <w:tblPr>
        <w:tblStyle w:val="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1606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88" w:type="dxa"/>
            <w:noWrap w:val="0"/>
            <w:vAlign w:val="top"/>
          </w:tcPr>
          <w:p>
            <w:pPr>
              <w:pStyle w:val="20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pStyle w:val="20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pStyle w:val="20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预算（元）（含税含安装）</w:t>
            </w:r>
          </w:p>
        </w:tc>
        <w:tc>
          <w:tcPr>
            <w:tcW w:w="5878" w:type="dxa"/>
            <w:noWrap w:val="0"/>
            <w:vAlign w:val="top"/>
          </w:tcPr>
          <w:p>
            <w:pPr>
              <w:pStyle w:val="2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AI电商综合实训基地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1间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450000</w:t>
            </w:r>
          </w:p>
        </w:tc>
        <w:tc>
          <w:tcPr>
            <w:tcW w:w="5878" w:type="dxa"/>
            <w:noWrap w:val="0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.基于前沿的AI技术，结合电商应用场景，打造全场景AI电商科技实践基地，基地所提供的AI电商技术不少于4个，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至少包含AI美工、AI短视频、AI直播等技术，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满足学生体验与实践需求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.所有AI技术均需要配置完整的软件与硬件平台，且所有AI技术均为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电商前沿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应用技术，不可用模拟或仿真技术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,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且学生可以应用相关的A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I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技术实现商业应用。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3. AI展示大屏2块，配套AI技术展示；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为保证信息安全，所有AI电商软件均采用本地部署，不得使用外网或翻墙技术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5.结合宁德区域经济，建设乡村振兴展示区；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提供网络布线、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场地规划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设计（科技感）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中高档装修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、文化设计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与实施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跨境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电商教学实训室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1间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550000</w:t>
            </w:r>
          </w:p>
        </w:tc>
        <w:tc>
          <w:tcPr>
            <w:tcW w:w="5878" w:type="dxa"/>
            <w:noWrap w:val="0"/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实训室满足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不少于90人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同时上课需求，学生自带电脑，实训室配置完整的桌椅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教学区配置高性能服务器、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网络、电源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、空调等基础设施；</w:t>
            </w:r>
          </w:p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教师教学设备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、音响设备；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.实训室配置前沿的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跨境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电商运营教学软件，满足当前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电商运营的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跨境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电商平台，不采用传统的货架电商，如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亚马逊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、速卖通等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5.提供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场地规划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装修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、文化设计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与实施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等。</w:t>
            </w:r>
          </w:p>
        </w:tc>
      </w:tr>
    </w:tbl>
    <w:p>
      <w:pPr>
        <w:pStyle w:val="5"/>
        <w:ind w:firstLine="0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pStyle w:val="5"/>
        <w:ind w:firstLine="0"/>
        <w:rPr>
          <w:rFonts w:ascii="宋体" w:hAnsi="宋体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D7C61"/>
    <w:multiLevelType w:val="multilevel"/>
    <w:tmpl w:val="6A2D7C61"/>
    <w:lvl w:ilvl="0" w:tentative="0">
      <w:start w:val="1"/>
      <w:numFmt w:val="bullet"/>
      <w:pStyle w:val="12"/>
      <w:lvlText w:val="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1">
    <w:nsid w:val="71CF8A15"/>
    <w:multiLevelType w:val="singleLevel"/>
    <w:tmpl w:val="71CF8A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TEyNWE3NDgwZDNhNTk4MGFkMDg3NmY0Y2U5NmMifQ=="/>
  </w:docVars>
  <w:rsids>
    <w:rsidRoot w:val="00172A27"/>
    <w:rsid w:val="003A6360"/>
    <w:rsid w:val="0ADD4CBE"/>
    <w:rsid w:val="16ED4584"/>
    <w:rsid w:val="1FB7E8E1"/>
    <w:rsid w:val="3C8B16E3"/>
    <w:rsid w:val="54302558"/>
    <w:rsid w:val="559C4684"/>
    <w:rsid w:val="65A10E3C"/>
    <w:rsid w:val="6B7F3655"/>
    <w:rsid w:val="F7FF0AA5"/>
    <w:rsid w:val="FF7D8A4D"/>
    <w:rsid w:val="FFFF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qFormat="1" w:unhideWhenUsed="0" w:uiPriority="0" w:semiHidden="0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0" w:semiHidden="0" w:name="Title"/>
    <w:lsdException w:uiPriority="1" w:name="Closing"/>
    <w:lsdException w:uiPriority="1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12" w:lineRule="auto"/>
    </w:pPr>
    <w:rPr>
      <w:rFonts w:ascii="Times New Roman" w:hAnsi="Times New Roman" w:eastAsia="宋体" w:cs="Times New Roman"/>
      <w:b/>
      <w:sz w:val="24"/>
      <w:szCs w:val="20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480"/>
    </w:pPr>
    <w:rPr>
      <w:rFonts w:ascii="Times New Roman" w:hAnsi="Times New Roman" w:eastAsia="宋体" w:cs="Times New Roman"/>
      <w:sz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spacing w:line="360" w:lineRule="auto"/>
    </w:pPr>
    <w:rPr>
      <w:rFonts w:ascii="微软雅黑" w:hAnsi="微软雅黑" w:eastAsia="微软雅黑" w:cs="微软雅黑"/>
      <w:szCs w:val="21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next w:val="12"/>
    <w:autoRedefine/>
    <w:qFormat/>
    <w:uiPriority w:val="10"/>
    <w:pPr>
      <w:jc w:val="center"/>
    </w:pPr>
    <w:rPr>
      <w:rFonts w:ascii="Cambria" w:hAnsi="Cambria" w:eastAsia="微软雅黑" w:cs="Times New Roman"/>
      <w:iCs/>
      <w:color w:val="243F60"/>
      <w:sz w:val="10"/>
      <w:szCs w:val="60"/>
      <w:lang w:val="en-US" w:eastAsia="en-US" w:bidi="en-US"/>
    </w:rPr>
  </w:style>
  <w:style w:type="paragraph" w:customStyle="1" w:styleId="12">
    <w:name w:val="正文 + 行距: 1.5 倍行距"/>
    <w:next w:val="1"/>
    <w:autoRedefine/>
    <w:qFormat/>
    <w:uiPriority w:val="0"/>
    <w:pPr>
      <w:numPr>
        <w:ilvl w:val="0"/>
        <w:numId w:val="1"/>
      </w:numPr>
      <w:spacing w:line="360" w:lineRule="auto"/>
    </w:pPr>
    <w:rPr>
      <w:rFonts w:ascii="Calibri" w:hAnsi="Calibri" w:eastAsia="微软雅黑" w:cs="Times New Roman"/>
      <w:sz w:val="24"/>
      <w:lang w:val="en-US" w:eastAsia="en-US" w:bidi="en-US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bi1"/>
    <w:autoRedefine/>
    <w:qFormat/>
    <w:uiPriority w:val="0"/>
    <w:rPr>
      <w:sz w:val="22"/>
      <w:szCs w:val="22"/>
    </w:rPr>
  </w:style>
  <w:style w:type="character" w:customStyle="1" w:styleId="17">
    <w:name w:val="页脚 字符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批注框文本 字符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字符"/>
    <w:link w:val="8"/>
    <w:autoRedefine/>
    <w:semiHidden/>
    <w:qFormat/>
    <w:uiPriority w:val="99"/>
    <w:rPr>
      <w:sz w:val="18"/>
      <w:szCs w:val="18"/>
    </w:rPr>
  </w:style>
  <w:style w:type="paragraph" w:customStyle="1" w:styleId="20">
    <w:name w:val="正文（深信服科技）"/>
    <w:basedOn w:val="1"/>
    <w:autoRedefine/>
    <w:qFormat/>
    <w:uiPriority w:val="0"/>
    <w:pPr>
      <w:widowControl/>
      <w:snapToGrid w:val="0"/>
      <w:ind w:firstLine="480" w:firstLineChars="200"/>
    </w:pPr>
    <w:rPr>
      <w:sz w:val="24"/>
      <w:szCs w:val="24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description"/>
    <w:basedOn w:val="1"/>
    <w:autoRedefine/>
    <w:qFormat/>
    <w:uiPriority w:val="0"/>
    <w:pPr>
      <w:jc w:val="left"/>
    </w:pPr>
    <w:rPr>
      <w:rFonts w:cs="Times New Roman"/>
      <w:color w:val="5E7387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2322</Characters>
  <Lines>19</Lines>
  <Paragraphs>5</Paragraphs>
  <TotalTime>5</TotalTime>
  <ScaleCrop>false</ScaleCrop>
  <LinksUpToDate>false</LinksUpToDate>
  <CharactersWithSpaces>2724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2023-07-21T16:24:00Z</dcterms:created>
  <dc:creator>Tencent</dc:creator>
  <cp:lastModifiedBy>汤</cp:lastModifiedBy>
  <cp:lastPrinted>2024-06-12T00:49:31Z</cp:lastPrinted>
  <dcterms:modified xsi:type="dcterms:W3CDTF">2024-06-12T00:51:43Z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2C1F487E7A2847EB8A2795F6CE69BF31_13</vt:lpwstr>
  </property>
</Properties>
</file>