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7745BF">
      <w:pPr>
        <w:jc w:val="center"/>
        <w:rPr>
          <w:rFonts w:ascii="宋体" w:hAnsi="宋体" w:eastAsia="宋体"/>
          <w:b/>
          <w:bCs/>
          <w:color w:val="333333"/>
          <w:kern w:val="0"/>
          <w:sz w:val="30"/>
          <w:szCs w:val="30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宁德职业技术学院</w:t>
      </w:r>
    </w:p>
    <w:p w14:paraId="331A3BE7">
      <w:pPr>
        <w:jc w:val="center"/>
        <w:rPr>
          <w:rFonts w:hint="eastAsia" w:ascii="宋体" w:hAnsi="宋体" w:eastAsia="宋体"/>
          <w:b/>
          <w:bCs/>
          <w:color w:val="333333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eastAsia="zh-CN"/>
        </w:rPr>
        <w:t>《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</w:rPr>
        <w:t>“增材制造设备操作员”鉴定基地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eastAsia="zh-CN"/>
        </w:rPr>
        <w:t>》</w:t>
      </w:r>
      <w:r>
        <w:rPr>
          <w:rFonts w:hint="eastAsia" w:ascii="宋体" w:hAnsi="宋体" w:eastAsia="宋体"/>
          <w:b/>
          <w:bCs/>
          <w:color w:val="333333"/>
          <w:kern w:val="0"/>
          <w:sz w:val="30"/>
          <w:szCs w:val="30"/>
          <w:lang w:val="en-US" w:eastAsia="zh-CN"/>
        </w:rPr>
        <w:t>采购方案征集需求</w:t>
      </w:r>
    </w:p>
    <w:p w14:paraId="659D2B63"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bookmarkStart w:id="0" w:name="_Toc361639293"/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增材制造也叫3D打印，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近年来3D打印技术发展迅速，不仅在打印速度、精度和稳定性上得到了显著提升，而且应用领域也从原型制作扩展到教育、医疗、航空航天、汽车制造等多个领域。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国家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高度重视3D打印产业的发展，并出台了一系列政策措施以推动其快速发展。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飞速发展的3D打印技术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、3D建模技术和逆向工程技术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为第三次工业革命拉开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了一个崭新的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序幕。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意味着我国的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3D打印产业将迎来新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的</w:t>
      </w:r>
      <w:r>
        <w:rPr>
          <w:rFonts w:ascii="宋体" w:hAnsi="宋体" w:eastAsia="宋体"/>
          <w:color w:val="000000"/>
          <w:kern w:val="0"/>
          <w:sz w:val="28"/>
          <w:szCs w:val="28"/>
        </w:rPr>
        <w:t>一轮发展机遇，并有望成为世界最大的3D打印应用市场。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随着增材制造技术的不断发展和应用范围的扩大，增材制造设备操作员的市场需求也在逐渐增加。目前学院的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FDM 3D打印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设备比较老旧，使用多年，多数设备故障无法修复，能正常使用的设备只有五台，无法满足教学要求，考证要求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且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在打印精度、打印速度、技能比赛、课程教学、岗位适应等方面都存在不足，为更好进行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专业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教学，以及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增材制造设备操作员的工种的鉴定要求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，要求购入FDM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3D打印机、扫描仪设备和配套操作平台</w:t>
      </w:r>
      <w:bookmarkEnd w:id="0"/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等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  <w:t>。</w:t>
      </w:r>
    </w:p>
    <w:p w14:paraId="451F55D3">
      <w:pPr>
        <w:numPr>
          <w:ilvl w:val="0"/>
          <w:numId w:val="2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</w:p>
    <w:p w14:paraId="182DD36F">
      <w:pPr>
        <w:numPr>
          <w:ilvl w:val="0"/>
          <w:numId w:val="0"/>
        </w:numPr>
        <w:spacing w:line="440" w:lineRule="exact"/>
        <w:ind w:firstLine="560" w:firstLineChars="200"/>
        <w:rPr>
          <w:rFonts w:hint="default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增材设备操作员的操作技能考核场地要求如下：</w:t>
      </w:r>
    </w:p>
    <w:p w14:paraId="3AC09498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1.操作技能考核场地面积一般不少于120㎡，配备工位一般不少于10个，每个工位需配备满足技能操作所需的设施设备，粘贴工位编号。评价场所外设置警戒线。</w:t>
      </w:r>
    </w:p>
    <w:p w14:paraId="244EAE9E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2.每个操作技能考场需配置高清监控摄像头一般不少于2个，对角安装，确保考试场所内监控全覆盖，监控摄像头配置同理论考试场地。</w:t>
      </w:r>
    </w:p>
    <w:p w14:paraId="616032FA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3.需设置考试禁用物品存放处或储物柜(至少满足10人存放)。防作弊设备配置要求同理论考场。</w:t>
      </w:r>
    </w:p>
    <w:p w14:paraId="0D1C18C6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4.设置候考区城，配备座椅，至少满足10人休息待考。</w:t>
      </w:r>
    </w:p>
    <w:p w14:paraId="5701FE49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</w:p>
    <w:p w14:paraId="0F50270F">
      <w:pPr>
        <w:pStyle w:val="18"/>
        <w:numPr>
          <w:ilvl w:val="0"/>
          <w:numId w:val="0"/>
        </w:numPr>
        <w:spacing w:line="440" w:lineRule="exact"/>
        <w:ind w:firstLine="440" w:firstLineChars="200"/>
        <w:rPr>
          <w:rFonts w:hint="eastAsia" w:ascii="宋体" w:hAnsi="宋体"/>
          <w:color w:val="0000FF"/>
          <w:sz w:val="22"/>
          <w:szCs w:val="22"/>
          <w:lang w:val="en-US" w:eastAsia="zh-CN"/>
        </w:rPr>
      </w:pPr>
      <w:bookmarkStart w:id="1" w:name="_GoBack"/>
      <w:r>
        <w:rPr>
          <w:rFonts w:hint="eastAsia" w:ascii="宋体" w:hAnsi="宋体"/>
          <w:color w:val="0000FF"/>
          <w:sz w:val="22"/>
          <w:szCs w:val="22"/>
          <w:lang w:val="en-US" w:eastAsia="zh-CN"/>
        </w:rPr>
        <w:t>5.满足</w:t>
      </w:r>
      <w:r>
        <w:rPr>
          <w:rFonts w:hint="eastAsia" w:ascii="宋体" w:hAnsi="宋体"/>
          <w:color w:val="0000FF"/>
          <w:sz w:val="22"/>
          <w:szCs w:val="22"/>
        </w:rPr>
        <w:t>视频监控要求</w:t>
      </w:r>
      <w:r>
        <w:rPr>
          <w:rFonts w:hint="eastAsia" w:ascii="宋体" w:hAnsi="宋体"/>
          <w:color w:val="0000FF"/>
          <w:sz w:val="22"/>
          <w:szCs w:val="22"/>
          <w:lang w:eastAsia="zh-CN"/>
        </w:rPr>
        <w:t>，</w:t>
      </w:r>
      <w:r>
        <w:rPr>
          <w:rFonts w:hint="eastAsia" w:ascii="宋体" w:hAnsi="宋体"/>
          <w:color w:val="0000FF"/>
          <w:sz w:val="22"/>
          <w:szCs w:val="22"/>
        </w:rPr>
        <w:t>配置视频监控设备和拾音设备。每个试室至少有2个摄像设备和1个拾音设备的要求，配置视频监控设备；能够覆盖每个工位的要求，能够实现考试场景无死角监控，确保所有考生不被遮挡，试室或考核区域声音能够清晰采集。</w:t>
      </w:r>
    </w:p>
    <w:bookmarkEnd w:id="1"/>
    <w:p w14:paraId="5B470563">
      <w:pPr>
        <w:pStyle w:val="18"/>
        <w:numPr>
          <w:ilvl w:val="0"/>
          <w:numId w:val="0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</w:pPr>
    </w:p>
    <w:p w14:paraId="55F19854">
      <w:pPr>
        <w:pStyle w:val="18"/>
        <w:numPr>
          <w:ilvl w:val="0"/>
          <w:numId w:val="0"/>
        </w:numPr>
        <w:spacing w:line="440" w:lineRule="exact"/>
        <w:ind w:left="560" w:leftChars="0"/>
        <w:rPr>
          <w:rFonts w:hint="eastAsia" w:ascii="宋体" w:hAnsi="宋体" w:eastAsia="宋体"/>
          <w:color w:val="000000"/>
          <w:kern w:val="0"/>
          <w:sz w:val="28"/>
          <w:szCs w:val="28"/>
          <w:lang w:eastAsia="zh-CN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二、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建设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清单</w:t>
      </w:r>
    </w:p>
    <w:p w14:paraId="7C1A598F">
      <w:p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针对以上</w:t>
      </w:r>
      <w:r>
        <w:rPr>
          <w:rFonts w:hint="eastAsia" w:ascii="宋体" w:hAnsi="宋体" w:eastAsia="宋体"/>
          <w:color w:val="000000"/>
          <w:kern w:val="0"/>
          <w:sz w:val="28"/>
          <w:szCs w:val="28"/>
          <w:lang w:val="en-US" w:eastAsia="zh-CN"/>
        </w:rPr>
        <w:t>建设内容</w:t>
      </w: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，“增材制造设备操作员”鉴定基地需满足以下要求：</w:t>
      </w:r>
    </w:p>
    <w:p w14:paraId="02DC9546">
      <w:pPr>
        <w:numPr>
          <w:ilvl w:val="0"/>
          <w:numId w:val="3"/>
        </w:numPr>
        <w:spacing w:line="440" w:lineRule="exact"/>
        <w:ind w:firstLine="560" w:firstLineChars="200"/>
        <w:rPr>
          <w:rFonts w:hint="eastAsia" w:ascii="宋体" w:hAnsi="宋体" w:eastAsia="宋体"/>
          <w:color w:val="000000"/>
          <w:kern w:val="0"/>
          <w:sz w:val="28"/>
          <w:szCs w:val="28"/>
        </w:rPr>
      </w:pPr>
      <w:r>
        <w:rPr>
          <w:rFonts w:hint="eastAsia" w:ascii="宋体" w:hAnsi="宋体" w:eastAsia="宋体"/>
          <w:color w:val="000000"/>
          <w:kern w:val="0"/>
          <w:sz w:val="28"/>
          <w:szCs w:val="28"/>
        </w:rPr>
        <w:t>配置清单：</w:t>
      </w:r>
    </w:p>
    <w:p w14:paraId="22D506FA">
      <w:pPr>
        <w:pStyle w:val="8"/>
        <w:numPr>
          <w:ilvl w:val="0"/>
          <w:numId w:val="0"/>
        </w:numPr>
        <w:jc w:val="center"/>
      </w:pPr>
    </w:p>
    <w:tbl>
      <w:tblPr>
        <w:tblStyle w:val="10"/>
        <w:tblW w:w="86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8"/>
        <w:gridCol w:w="567"/>
        <w:gridCol w:w="1606"/>
        <w:gridCol w:w="5474"/>
      </w:tblGrid>
      <w:tr w14:paraId="75214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  <w:jc w:val="center"/>
        </w:trPr>
        <w:tc>
          <w:tcPr>
            <w:tcW w:w="988" w:type="dxa"/>
            <w:noWrap w:val="0"/>
            <w:vAlign w:val="top"/>
          </w:tcPr>
          <w:p w14:paraId="34F1E6A6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项目名称</w:t>
            </w:r>
          </w:p>
        </w:tc>
        <w:tc>
          <w:tcPr>
            <w:tcW w:w="567" w:type="dxa"/>
            <w:noWrap w:val="0"/>
            <w:vAlign w:val="top"/>
          </w:tcPr>
          <w:p w14:paraId="55C2F6DF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数量</w:t>
            </w:r>
          </w:p>
        </w:tc>
        <w:tc>
          <w:tcPr>
            <w:tcW w:w="1606" w:type="dxa"/>
            <w:noWrap w:val="0"/>
            <w:vAlign w:val="top"/>
          </w:tcPr>
          <w:p w14:paraId="05BD5137">
            <w:pPr>
              <w:pStyle w:val="18"/>
              <w:spacing w:line="440" w:lineRule="exact"/>
              <w:ind w:firstLine="0" w:firstLineChars="0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预算（元）（含税含安装）</w:t>
            </w:r>
          </w:p>
        </w:tc>
        <w:tc>
          <w:tcPr>
            <w:tcW w:w="5474" w:type="dxa"/>
            <w:noWrap w:val="0"/>
            <w:vAlign w:val="top"/>
          </w:tcPr>
          <w:p w14:paraId="70049913">
            <w:pPr>
              <w:pStyle w:val="18"/>
              <w:spacing w:line="440" w:lineRule="exact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规格要求</w:t>
            </w:r>
          </w:p>
        </w:tc>
      </w:tr>
      <w:tr w14:paraId="0EE5D5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8" w:type="dxa"/>
            <w:noWrap w:val="0"/>
            <w:vAlign w:val="center"/>
          </w:tcPr>
          <w:p w14:paraId="7E0B211C">
            <w:pPr>
              <w:spacing w:line="360" w:lineRule="auto"/>
              <w:jc w:val="left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</w:rPr>
              <w:t>“增材制造设备操作员”鉴定基地</w:t>
            </w:r>
          </w:p>
        </w:tc>
        <w:tc>
          <w:tcPr>
            <w:tcW w:w="567" w:type="dxa"/>
            <w:noWrap w:val="0"/>
            <w:vAlign w:val="center"/>
          </w:tcPr>
          <w:p w14:paraId="7CF66120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  <w:lang w:bidi="ar"/>
              </w:rPr>
              <w:t>1间</w:t>
            </w:r>
          </w:p>
        </w:tc>
        <w:tc>
          <w:tcPr>
            <w:tcW w:w="1606" w:type="dxa"/>
            <w:noWrap w:val="0"/>
            <w:vAlign w:val="center"/>
          </w:tcPr>
          <w:p w14:paraId="0FA51E75"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val="en-US" w:eastAsia="zh-CN"/>
              </w:rPr>
              <w:t>550000</w:t>
            </w:r>
          </w:p>
        </w:tc>
        <w:tc>
          <w:tcPr>
            <w:tcW w:w="5474" w:type="dxa"/>
            <w:noWrap w:val="0"/>
            <w:vAlign w:val="top"/>
          </w:tcPr>
          <w:p w14:paraId="0305BBD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一、固定式三维扫描仪2台：</w:t>
            </w:r>
          </w:p>
          <w:p w14:paraId="28BE3A22"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详细参数：</w:t>
            </w:r>
          </w:p>
          <w:p w14:paraId="4203C546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采用微结构光投影技术，环形编码校准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非接触式面扫描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可自动拼接，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测量精度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：±0.015mm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可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扫描物体范围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：30-1500mm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相机角度范围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：0-35度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高精密工业级相机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专业校准高精度标定单元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扫描仪控制软件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：中文扫描控制系统，自带十字线定位方式；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光源类型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：蓝光；支持工业三维摄影测量拼接工程坐标点文件导入；扫描软件自带点云处理模块，可实现对点云数据进行简易化处理；系统软件整合GREC全局误差控制模块，可对拼接后的误差进行全局控制；</w:t>
            </w:r>
          </w:p>
          <w:p w14:paraId="46601C5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</w:rPr>
              <w:t>输出格式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：AC、 ASC、 PF、STL、PLY等数据格式，可用于Geomagic、UG、Proe、Imageware、PolyWorks等软件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eastAsia="zh-CN"/>
              </w:rPr>
              <w:t>。</w:t>
            </w:r>
          </w:p>
          <w:p w14:paraId="78973BEB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二.手持式彩色三维数据采集系统1台：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1.结构形式：由2个黑白图像采集单元、1个彩色图像采集单元、三种光源（蓝色交叉线激光、红外交叉线激光、红外VCSEL）构成的复合式彩色三维扫描系统，结构简单，稳定，符合人体工程学的手持设计。</w:t>
            </w:r>
          </w:p>
          <w:p w14:paraId="3F4983E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人眼安全扫描模式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：红外激光扫描模式、红外VCSEL散斑扫描模式。</w:t>
            </w:r>
          </w:p>
          <w:p w14:paraId="42D0B270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精度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：标记点拼接模式下，基础精度最高可达0.04mm，体积精度最高可达0.04+0.06mm/m。</w:t>
            </w:r>
          </w:p>
          <w:p w14:paraId="2B353339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无需贴点扫描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：蓝色激光、红外激光、红外散斑，三种光源均支持无需借助跟踪器或反向定位装置或标记点，直接扫描。</w:t>
            </w:r>
          </w:p>
          <w:p w14:paraId="26225437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扫描速率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：蓝色/红外激光扫描模式</w:t>
            </w:r>
          </w:p>
          <w:p w14:paraId="4E9D5F25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6.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扫描距离范围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：红外散斑模式支持150-1500mm，红外激光和蓝色激光支持150-1000mm。</w:t>
            </w:r>
          </w:p>
          <w:p w14:paraId="02479A3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7.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局部精扫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：红外散斑快速扫描模式下，支持用红外激光局部精扫或小幅面散斑局部精扫，单次扫描工程支持多分辨率扫描，无需拼接，直接融合。</w:t>
            </w:r>
          </w:p>
          <w:p w14:paraId="63201BF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8.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彩色纹理扫描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：红外VCSEL散斑扫描模式、红外激光扫描模式、蓝色激光扫描模式，均支持彩色纹理扫描。</w:t>
            </w:r>
          </w:p>
          <w:p w14:paraId="34E1C8EC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9.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数据输出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：支持多种数据格式输出：*.obj, *.stl, *.ply, *.asc, *.mk2, *.txt, *.epj, *.apj, *.spj,*map, *.sk等，满足不同的设计场景的使用需求；输出的数据可支持3D打印、艺术修型设计再加工、智能贴图置换、逆向工程等。</w:t>
            </w:r>
          </w:p>
          <w:p w14:paraId="6248B9B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11.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三维扫描仪主机重量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：不高于640g。</w:t>
            </w:r>
          </w:p>
          <w:p w14:paraId="7EE4DF1B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12. 扫描软件具有第三方专业软件GOM  INSPECT检测比对软件直读接口：为保证数据完整性及统一性，数据无需导出、扫描数据可一键直接进入GOM  INSPECT 软件进行数据检测、比对、分析和处理。</w:t>
            </w:r>
          </w:p>
          <w:p w14:paraId="603F798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13.相关认证：产品拥有CE, FCC, RoHS, WEEE认证。</w:t>
            </w:r>
          </w:p>
          <w:p w14:paraId="649496CF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15.扫描软件基础功能：</w:t>
            </w:r>
          </w:p>
          <w:p w14:paraId="661DFBC1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16.软件特色功能：</w:t>
            </w:r>
          </w:p>
          <w:p w14:paraId="335893E3">
            <w:pPr>
              <w:pStyle w:val="20"/>
              <w:jc w:val="both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（1）拥有实时色谱显示功能：（2）支持扫描帧撤回功能：（3）三维鉴定测量模块：（4）小型薄壁件扫描</w:t>
            </w:r>
          </w:p>
          <w:p w14:paraId="22ABCA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3.多色高速3D打印机12台：</w:t>
            </w:r>
          </w:p>
          <w:p w14:paraId="1A88FD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熔融沉积成型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打印尺寸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（长×宽×高）不低于256 × 256 × 256 mm³，钢材框架，外壳为铝材和玻璃构成；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工具头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：全金属热端，硬化钢挤出机齿轮，硬化钢喷嘴，喷嘴最高温度不低于320 ℃，自带0.4 mm直径喷嘴，可扩展0.2 mm, 0.6 mm, 0.8 mm直径喷嘴，内置工具头切刀，线材直径为1.75mm；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热床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：自带光面PEI打印面板，可扩展低温打印面板，高温打印面板，工程打印面板，和PEI纹理打印面板。热床最高温度不低于 110℃@220V, 120℃@110V；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速度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：工具头最大移动速度不低于500 mm/s，工具头最大移动加速度不低于20 m/s²，热端最大流速不低于32 mm³/s（ABS材料）；主要依靠XY轴的震动抑制算法和精准的流量控制，来实现高速打印功能，支持主动振动补偿与流量补偿，让高速打印下的模型表面更光滑，转角更为锐利；支持耗材类型：PLA，PETG，TPU，ABS，ASA，PVA，PET，PA，PC，PVA，BVOH，PPA， PPS及其碳/玻璃纤维增强线材；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主动腔温加热及控制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：具备主动加热功能和精准的腔温控制能力，其腔温能从室温快速升至 60℃；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空气过滤系统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：能够有效过滤打印过程中产生的颗粒物及气味；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联网方式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 xml:space="preserve">：支持以太网有线连接，无线网络连接，无线网络支持 WPA2-Enterprise 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安全协议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，包括 EAP-PEAP / EAP-TLS / TAP-TTLS，支持实体网络开关，能独立物理断连无线网关和以太网关；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冷却系统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：内置冷却风扇系统，确保打印模型、打印机箱、电源板和主板的散热；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支持断电续打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；</w:t>
            </w:r>
          </w:p>
          <w:p w14:paraId="382925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outlineLvl w:val="9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电子设备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：产品自带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</w:rPr>
              <w:t>≥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5英寸 1280 × 720 触摸屏，支持Wi-Fi、以太网有线连接等，支持触摸屏、手机端、电脑端操作界面；</w:t>
            </w:r>
            <w:r>
              <w:rPr>
                <w:rFonts w:hint="eastAsia" w:ascii="仿宋" w:hAnsi="仿宋" w:eastAsia="仿宋" w:cs="仿宋"/>
                <w:b/>
                <w:bCs w:val="0"/>
                <w:sz w:val="24"/>
                <w:szCs w:val="24"/>
                <w:lang w:val="en-US" w:eastAsia="zh-CN"/>
              </w:rPr>
              <w:t>自动供料系统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：两级助力，确保能够顺利将耗材丝送入挤出机；确保AMS送料和挤出机出料节奏保持同步；4*4级联，最多支持4台AMS一起使用，可以实现16色打印。</w:t>
            </w:r>
          </w:p>
          <w:p w14:paraId="03CE57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</w:rPr>
              <w:t>增材实训耗材包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：</w:t>
            </w:r>
            <w:r>
              <w:rPr>
                <w:rFonts w:hint="eastAsia" w:ascii="仿宋" w:hAnsi="仿宋" w:eastAsia="仿宋" w:cs="仿宋"/>
                <w:b w:val="0"/>
                <w:bCs/>
                <w:sz w:val="24"/>
                <w:szCs w:val="24"/>
                <w:lang w:val="en-US" w:eastAsia="zh-CN"/>
              </w:rPr>
              <w:t>纯色PLA 1.75mm 30卷、渐变色PLA 30卷、丝绸PLA 30卷</w:t>
            </w:r>
          </w:p>
          <w:p w14:paraId="2C0104F4">
            <w:pPr>
              <w:pStyle w:val="20"/>
              <w:numPr>
                <w:ilvl w:val="0"/>
                <w:numId w:val="4"/>
              </w:numPr>
              <w:ind w:left="0" w:leftChars="0" w:firstLine="0" w:firstLineChars="0"/>
              <w:jc w:val="both"/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重型工作台：</w:t>
            </w:r>
          </w:p>
          <w:p w14:paraId="148E8516">
            <w:pPr>
              <w:pStyle w:val="20"/>
              <w:numPr>
                <w:ilvl w:val="0"/>
                <w:numId w:val="0"/>
              </w:numPr>
              <w:ind w:leftChars="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1、尺寸：≥120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Hans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60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Hans"/>
              </w:rPr>
              <w:t>×</w:t>
            </w: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80cm</w:t>
            </w:r>
          </w:p>
          <w:p w14:paraId="7ED20708">
            <w:pPr>
              <w:pStyle w:val="20"/>
              <w:jc w:val="both"/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2、桌面厚度：≥5cm</w:t>
            </w:r>
          </w:p>
          <w:p w14:paraId="3AF811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color w:val="000000"/>
                <w:kern w:val="0"/>
                <w:sz w:val="24"/>
                <w:szCs w:val="24"/>
                <w:shd w:val="clear" w:fill="FFFFFF"/>
                <w:lang w:val="en-US" w:eastAsia="zh-CN"/>
              </w:rPr>
              <w:t>3、框架：加厚铁架</w:t>
            </w:r>
          </w:p>
          <w:p w14:paraId="601E370E"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color="auto" w:fill="FFFFFF"/>
              <w:spacing w:before="0" w:beforeAutospacing="0" w:after="0" w:afterAutospacing="0" w:line="368" w:lineRule="atLeast"/>
              <w:ind w:right="0"/>
              <w:jc w:val="both"/>
              <w:rPr>
                <w:rFonts w:hint="default" w:ascii="宋体" w:hAnsi="宋体" w:eastAsia="宋体" w:cs="宋体"/>
                <w:sz w:val="24"/>
                <w:szCs w:val="24"/>
                <w:highlight w:val="none"/>
                <w:lang w:val="en-US" w:eastAsia="zh-CN"/>
              </w:rPr>
            </w:pPr>
          </w:p>
        </w:tc>
      </w:tr>
    </w:tbl>
    <w:p w14:paraId="48959BEC">
      <w:pPr>
        <w:ind w:firstLine="560"/>
        <w:jc w:val="center"/>
        <w:rPr>
          <w:rFonts w:ascii="宋体" w:hAnsi="宋体" w:eastAsia="宋体"/>
          <w:color w:val="000000"/>
          <w:sz w:val="28"/>
          <w:szCs w:val="28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71FC3"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86EC810"/>
    <w:multiLevelType w:val="singleLevel"/>
    <w:tmpl w:val="B86EC81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732A733"/>
    <w:multiLevelType w:val="singleLevel"/>
    <w:tmpl w:val="2732A733"/>
    <w:lvl w:ilvl="0" w:tentative="0">
      <w:start w:val="4"/>
      <w:numFmt w:val="decimal"/>
      <w:lvlText w:val="%1."/>
      <w:lvlJc w:val="left"/>
      <w:pPr>
        <w:tabs>
          <w:tab w:val="left" w:pos="312"/>
        </w:tabs>
      </w:pPr>
    </w:lvl>
  </w:abstractNum>
  <w:abstractNum w:abstractNumId="2">
    <w:nsid w:val="6A2D7C61"/>
    <w:multiLevelType w:val="multilevel"/>
    <w:tmpl w:val="6A2D7C61"/>
    <w:lvl w:ilvl="0" w:tentative="0">
      <w:start w:val="1"/>
      <w:numFmt w:val="bullet"/>
      <w:pStyle w:val="9"/>
      <w:lvlText w:val=""/>
      <w:lvlJc w:val="left"/>
      <w:pPr>
        <w:tabs>
          <w:tab w:val="left" w:pos="845"/>
        </w:tabs>
        <w:ind w:left="845" w:hanging="420"/>
      </w:pPr>
      <w:rPr>
        <w:rFonts w:hint="default" w:ascii="Wingdings" w:hAnsi="Wingdings"/>
      </w:rPr>
    </w:lvl>
    <w:lvl w:ilvl="1" w:tentative="0">
      <w:start w:val="1"/>
      <w:numFmt w:val="bullet"/>
      <w:lvlText w:val=""/>
      <w:lvlJc w:val="left"/>
      <w:pPr>
        <w:tabs>
          <w:tab w:val="left" w:pos="1265"/>
        </w:tabs>
        <w:ind w:left="1265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tabs>
          <w:tab w:val="left" w:pos="1685"/>
        </w:tabs>
        <w:ind w:left="1685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tabs>
          <w:tab w:val="left" w:pos="2105"/>
        </w:tabs>
        <w:ind w:left="2105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tabs>
          <w:tab w:val="left" w:pos="2525"/>
        </w:tabs>
        <w:ind w:left="2525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tabs>
          <w:tab w:val="left" w:pos="2945"/>
        </w:tabs>
        <w:ind w:left="2945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tabs>
          <w:tab w:val="left" w:pos="3365"/>
        </w:tabs>
        <w:ind w:left="3365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tabs>
          <w:tab w:val="left" w:pos="3785"/>
        </w:tabs>
        <w:ind w:left="3785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tabs>
          <w:tab w:val="left" w:pos="4205"/>
        </w:tabs>
        <w:ind w:left="4205" w:hanging="420"/>
      </w:pPr>
      <w:rPr>
        <w:rFonts w:hint="default" w:ascii="Wingdings" w:hAnsi="Wingdings"/>
      </w:rPr>
    </w:lvl>
  </w:abstractNum>
  <w:abstractNum w:abstractNumId="3">
    <w:nsid w:val="726FAC44"/>
    <w:multiLevelType w:val="singleLevel"/>
    <w:tmpl w:val="726FAC44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isplayBackgroundShape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hmNjAzMWJlZjFkMmQwODUwMTJkYzE2ODFiYmFmYTcifQ=="/>
  </w:docVars>
  <w:rsids>
    <w:rsidRoot w:val="00BA0C1A"/>
    <w:rsid w:val="000C51B7"/>
    <w:rsid w:val="000E298D"/>
    <w:rsid w:val="001324B1"/>
    <w:rsid w:val="001E5C80"/>
    <w:rsid w:val="002115B8"/>
    <w:rsid w:val="00216EB9"/>
    <w:rsid w:val="00337A39"/>
    <w:rsid w:val="0059531B"/>
    <w:rsid w:val="005C1FD4"/>
    <w:rsid w:val="005F1E1B"/>
    <w:rsid w:val="00616505"/>
    <w:rsid w:val="0062213C"/>
    <w:rsid w:val="00633F40"/>
    <w:rsid w:val="006549AD"/>
    <w:rsid w:val="00684A38"/>
    <w:rsid w:val="00684D9C"/>
    <w:rsid w:val="006A5CF5"/>
    <w:rsid w:val="006B18D5"/>
    <w:rsid w:val="007050AB"/>
    <w:rsid w:val="007C7D40"/>
    <w:rsid w:val="007D69F1"/>
    <w:rsid w:val="008A4C2C"/>
    <w:rsid w:val="00A60633"/>
    <w:rsid w:val="00BA0C1A"/>
    <w:rsid w:val="00C061CB"/>
    <w:rsid w:val="00C604EC"/>
    <w:rsid w:val="00C91A65"/>
    <w:rsid w:val="00D713C5"/>
    <w:rsid w:val="00E26251"/>
    <w:rsid w:val="00E42AB7"/>
    <w:rsid w:val="00E44496"/>
    <w:rsid w:val="00EA1EE8"/>
    <w:rsid w:val="00F0730B"/>
    <w:rsid w:val="00F53662"/>
    <w:rsid w:val="00FE5F52"/>
    <w:rsid w:val="00FF240D"/>
    <w:rsid w:val="083D07F0"/>
    <w:rsid w:val="105E3B74"/>
    <w:rsid w:val="1B9C3C2F"/>
    <w:rsid w:val="1C2C4424"/>
    <w:rsid w:val="1CD54CE6"/>
    <w:rsid w:val="1DBD4EA9"/>
    <w:rsid w:val="1DEC38DC"/>
    <w:rsid w:val="273620D5"/>
    <w:rsid w:val="277A5FE6"/>
    <w:rsid w:val="2D0B4AE5"/>
    <w:rsid w:val="2F8B1D7E"/>
    <w:rsid w:val="30456175"/>
    <w:rsid w:val="36772279"/>
    <w:rsid w:val="37B808CB"/>
    <w:rsid w:val="38F06DDF"/>
    <w:rsid w:val="38F65E92"/>
    <w:rsid w:val="3BDA1BFA"/>
    <w:rsid w:val="434067C1"/>
    <w:rsid w:val="528B3EA6"/>
    <w:rsid w:val="568D20C3"/>
    <w:rsid w:val="56CB39A0"/>
    <w:rsid w:val="5A7E3D04"/>
    <w:rsid w:val="5D330497"/>
    <w:rsid w:val="602966B4"/>
    <w:rsid w:val="6BC71B07"/>
    <w:rsid w:val="6EAF13B0"/>
    <w:rsid w:val="6F2754E5"/>
    <w:rsid w:val="6F7A4470"/>
    <w:rsid w:val="71061E72"/>
    <w:rsid w:val="73C861AD"/>
    <w:rsid w:val="77E6D5F5"/>
    <w:rsid w:val="78EB16C8"/>
    <w:rsid w:val="79A35446"/>
    <w:rsid w:val="7A3B2499"/>
    <w:rsid w:val="7E0149D8"/>
    <w:rsid w:val="D5DFBFF2"/>
    <w:rsid w:val="FABDE8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nhideWhenUsed="0" w:uiPriority="0" w:semiHidden="0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rFonts w:ascii="微软雅黑" w:hAnsi="微软雅黑" w:eastAsia="微软雅黑" w:cs="微软雅黑"/>
      <w:b/>
      <w:bCs/>
      <w:kern w:val="44"/>
      <w:sz w:val="44"/>
      <w:szCs w:val="44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oa heading"/>
    <w:basedOn w:val="1"/>
    <w:next w:val="1"/>
    <w:qFormat/>
    <w:uiPriority w:val="0"/>
    <w:pPr>
      <w:spacing w:before="120" w:line="360" w:lineRule="auto"/>
      <w:ind w:firstLine="480" w:firstLineChars="200"/>
    </w:pPr>
    <w:rPr>
      <w:rFonts w:ascii="Arial" w:hAnsi="Arial"/>
      <w:sz w:val="24"/>
    </w:r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8">
    <w:name w:val="Title"/>
    <w:next w:val="9"/>
    <w:qFormat/>
    <w:uiPriority w:val="10"/>
    <w:pPr>
      <w:jc w:val="center"/>
    </w:pPr>
    <w:rPr>
      <w:rFonts w:ascii="Cambria" w:hAnsi="Cambria" w:eastAsia="微软雅黑" w:cs="Times New Roman"/>
      <w:iCs/>
      <w:color w:val="243F60"/>
      <w:sz w:val="10"/>
      <w:szCs w:val="60"/>
      <w:lang w:val="en-US" w:eastAsia="en-US" w:bidi="en-US"/>
    </w:rPr>
  </w:style>
  <w:style w:type="paragraph" w:customStyle="1" w:styleId="9">
    <w:name w:val="正文 + 行距: 1.5 倍行距"/>
    <w:next w:val="1"/>
    <w:qFormat/>
    <w:uiPriority w:val="0"/>
    <w:pPr>
      <w:numPr>
        <w:ilvl w:val="0"/>
        <w:numId w:val="1"/>
      </w:numPr>
      <w:spacing w:line="360" w:lineRule="auto"/>
    </w:pPr>
    <w:rPr>
      <w:rFonts w:ascii="Calibri" w:hAnsi="Calibri" w:eastAsia="微软雅黑" w:cs="Times New Roman"/>
      <w:sz w:val="24"/>
      <w:lang w:val="en-US" w:eastAsia="en-US" w:bidi="en-US"/>
    </w:rPr>
  </w:style>
  <w:style w:type="table" w:styleId="11">
    <w:name w:val="Table Grid"/>
    <w:basedOn w:val="10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3">
    <w:name w:val="页眉 Char"/>
    <w:basedOn w:val="12"/>
    <w:link w:val="6"/>
    <w:semiHidden/>
    <w:qFormat/>
    <w:uiPriority w:val="99"/>
    <w:rPr>
      <w:sz w:val="18"/>
      <w:szCs w:val="18"/>
    </w:rPr>
  </w:style>
  <w:style w:type="character" w:customStyle="1" w:styleId="14">
    <w:name w:val="页脚 Char"/>
    <w:basedOn w:val="12"/>
    <w:link w:val="5"/>
    <w:semiHidden/>
    <w:qFormat/>
    <w:uiPriority w:val="99"/>
    <w:rPr>
      <w:sz w:val="18"/>
      <w:szCs w:val="18"/>
    </w:rPr>
  </w:style>
  <w:style w:type="paragraph" w:customStyle="1" w:styleId="15">
    <w:name w:val="列出段落1"/>
    <w:basedOn w:val="1"/>
    <w:qFormat/>
    <w:uiPriority w:val="34"/>
    <w:pPr>
      <w:ind w:firstLine="420" w:firstLineChars="200"/>
    </w:pPr>
  </w:style>
  <w:style w:type="paragraph" w:styleId="16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17">
    <w:name w:val="批注框文本 Char"/>
    <w:basedOn w:val="12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paragraph" w:customStyle="1" w:styleId="18">
    <w:name w:val="正文（深信服科技）"/>
    <w:basedOn w:val="1"/>
    <w:qFormat/>
    <w:uiPriority w:val="0"/>
    <w:pPr>
      <w:widowControl/>
      <w:snapToGrid w:val="0"/>
      <w:ind w:firstLine="480" w:firstLineChars="200"/>
    </w:pPr>
    <w:rPr>
      <w:sz w:val="24"/>
      <w:szCs w:val="24"/>
    </w:rPr>
  </w:style>
  <w:style w:type="paragraph" w:styleId="19">
    <w:name w:val="No Spacing"/>
    <w:qFormat/>
    <w:uiPriority w:val="1"/>
    <w:pPr>
      <w:adjustRightInd w:val="0"/>
      <w:snapToGrid w:val="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paragraph" w:customStyle="1" w:styleId="20">
    <w:name w:val="null3"/>
    <w:hidden/>
    <w:qFormat/>
    <w:uiPriority w:val="0"/>
    <w:rPr>
      <w:rFonts w:hint="eastAsia" w:asciiTheme="minorHAnsi" w:hAnsiTheme="minorHAnsi" w:eastAsiaTheme="minorEastAsia" w:cstheme="minorBidi"/>
      <w:lang w:val="en-US" w:eastAsia="zh-Hans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2344</Words>
  <Characters>2742</Characters>
  <Lines>36</Lines>
  <Paragraphs>10</Paragraphs>
  <TotalTime>0</TotalTime>
  <ScaleCrop>false</ScaleCrop>
  <LinksUpToDate>false</LinksUpToDate>
  <CharactersWithSpaces>2800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2022-08-11T02:32:00Z</dcterms:created>
  <dc:creator>Tencent</dc:creator>
  <cp:lastModifiedBy>April</cp:lastModifiedBy>
  <cp:lastPrinted>2025-03-05T08:05:00Z</cp:lastPrinted>
  <dcterms:modified xsi:type="dcterms:W3CDTF">2025-03-17T09:28:05Z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8B7B9DC851F44AC9927D9F818ECBF113_13</vt:lpwstr>
  </property>
  <property fmtid="{D5CDD505-2E9C-101B-9397-08002B2CF9AE}" pid="4" name="KSOTemplateDocerSaveRecord">
    <vt:lpwstr>eyJoZGlkIjoiZWMyYjhhODIxNmRlMmI5OWZkZGY3MWE4YWM5ZGM3YTEiLCJ1c2VySWQiOiIzMjM3NTYwNDEifQ==</vt:lpwstr>
  </property>
</Properties>
</file>